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1620" w:tblpY="178"/>
        <w:tblOverlap w:val="never"/>
        <w:tblW w:w="1367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2"/>
        <w:gridCol w:w="969"/>
        <w:gridCol w:w="995"/>
        <w:gridCol w:w="1514"/>
        <w:gridCol w:w="1675"/>
        <w:gridCol w:w="1188"/>
        <w:gridCol w:w="968"/>
        <w:gridCol w:w="900"/>
        <w:gridCol w:w="1378"/>
        <w:gridCol w:w="1363"/>
        <w:gridCol w:w="1146"/>
        <w:gridCol w:w="1107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367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28"/>
                <w:szCs w:val="2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bidi="ar"/>
              </w:rPr>
              <w:t>存量住宅用地信息表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367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32"/>
                <w:szCs w:val="32"/>
                <w:lang w:bidi="ar"/>
              </w:rPr>
              <w:t>表1.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32"/>
                <w:szCs w:val="32"/>
                <w:lang w:eastAsia="zh-CN" w:bidi="ar"/>
              </w:rPr>
              <w:t>第十四师昆玉市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32"/>
                <w:szCs w:val="32"/>
                <w:lang w:bidi="ar"/>
              </w:rPr>
              <w:t>存量住宅用地项目清单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单位：公顷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项目名称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开发企业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所在师市和团场（街道）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具体位置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住宅类型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土地面积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供地时间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约定开工时间</w:t>
            </w: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约定竣工时间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建设状态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未销售房屋的土地面积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（1）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（2）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（3）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（4）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（5）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（6）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（7）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（8）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（9）</w:t>
            </w: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（10）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（11）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（12）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昆玉市滨湖小区建设项目一期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昆玉市家鑫房地产开发有限公司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  <w:t>第十四师昆玉市城区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  <w:t>昆牧路以西、老兵路以东、泰山街以北、滨河街以南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普通商品房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4.84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2021/3/16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2021/5/15</w:t>
            </w: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2022/11/15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已动工未竣工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2.</w:t>
            </w:r>
            <w:bookmarkStart w:id="0" w:name="_GoBack"/>
            <w:bookmarkEnd w:id="0"/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22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昆玉市滨湖小区建设项目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  <w:t>二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期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昆玉市家鑫房地产开发有限公司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  <w:t>第十四师昆玉市城区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  <w:t>昆牧路以东、学府路以西、泰山街以北、滨河街以南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普通商品房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4.56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2021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/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3/1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2021/9/1</w:t>
            </w: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2023/4/15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未动工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4.56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第十四师昆玉市城北区团昇花园住宅小区建设项目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昆玉市团昇房地产开发有限公司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  <w:t>第十四师昆玉市城区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  <w:t>昆泉大道以东、金阳路以西、长安街以南、玉泉街以北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普通商品房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6.6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2021/7/7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2021/9/1</w:t>
            </w: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2023/8/31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  <w:t>未动工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6.6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4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  <w:t>第十四师昆玉市中润公馆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  <w:t>昆玉市中润房地产开发有限责任公司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  <w:t>第十四师昆玉市城区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  <w:t>金沙路以东、玉河街以南、昆玉河以北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普通商品房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2.4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2021/7/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2021/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10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/1</w:t>
            </w: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2023/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5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/31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eastAsia="zh-CN" w:bidi="ar"/>
              </w:rPr>
              <w:t>未动工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18"/>
                <w:szCs w:val="18"/>
                <w:lang w:val="en-US" w:eastAsia="zh-CN" w:bidi="ar"/>
              </w:rPr>
              <w:t>6.4</w:t>
            </w:r>
          </w:p>
        </w:tc>
      </w:tr>
    </w:tbl>
    <w:p>
      <w:pPr>
        <w:spacing w:line="200" w:lineRule="exact"/>
        <w:rPr>
          <w:rFonts w:ascii="仿宋_GB2312" w:hAnsi="仿宋_GB2312" w:eastAsia="仿宋_GB2312" w:cs="仿宋_GB2312"/>
          <w:sz w:val="22"/>
          <w:szCs w:val="22"/>
        </w:rPr>
      </w:pPr>
    </w:p>
    <w:p>
      <w:pPr>
        <w:spacing w:line="500" w:lineRule="exac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填表说明：</w:t>
      </w:r>
    </w:p>
    <w:p>
      <w:pPr>
        <w:spacing w:line="500" w:lineRule="exac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1.关于（2）项目名称：填写楼盘名称或小区名称。</w:t>
      </w:r>
    </w:p>
    <w:p>
      <w:pPr>
        <w:spacing w:line="500" w:lineRule="exac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2.关于（3）开发企业：对应出让合同或划拨决定书中的土地使用权人，应准确填写企业全称。</w:t>
      </w:r>
    </w:p>
    <w:p>
      <w:pPr>
        <w:spacing w:line="500" w:lineRule="exac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3.关于（4）所在师市和团场（街道）：填写所在的师市和团场（街道）。</w:t>
      </w:r>
    </w:p>
    <w:p>
      <w:pPr>
        <w:spacing w:line="500" w:lineRule="exac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4.关于（5）具体位置：填写详细地址或四至。</w:t>
      </w:r>
    </w:p>
    <w:p>
      <w:pPr>
        <w:spacing w:line="500" w:lineRule="exac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5.关于（6）住宅类型：选择填写“普通商品房、租赁型商品房、共有产权房、公租房、保障性租赁住房”。</w:t>
      </w:r>
    </w:p>
    <w:p>
      <w:pPr>
        <w:spacing w:line="500" w:lineRule="exac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6.关于（7）土地面积：填写出让合同或划拨决定书供应面积。</w:t>
      </w:r>
    </w:p>
    <w:p>
      <w:pPr>
        <w:spacing w:line="500" w:lineRule="exac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7.关于（8）供地时间：填写出让合同签订日期或划拨决定书核发日期。</w:t>
      </w:r>
    </w:p>
    <w:p>
      <w:pPr>
        <w:spacing w:line="500" w:lineRule="exac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8.关于（9）约定开工时间：填写出让合同或划拨决定书约定、规定的开工日期。</w:t>
      </w:r>
    </w:p>
    <w:p>
      <w:pPr>
        <w:spacing w:line="500" w:lineRule="exac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9.关于（10）约定竣工时间：填写出让合同或划拨决定书约定、规定的竣工日期。</w:t>
      </w:r>
    </w:p>
    <w:p>
      <w:pPr>
        <w:spacing w:line="500" w:lineRule="exac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10.关于（11）建设状态：选择填写“已动工未竣工、未动工”。</w:t>
      </w:r>
    </w:p>
    <w:p>
      <w:pPr>
        <w:spacing w:line="500" w:lineRule="exac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11.关于（12）未销售房屋的土地面积：此项只针对“已动工未竣工”的项目，“未动工”项目不需要填写。核算方法为：设该地块总面积为</w:t>
      </w:r>
      <w:r>
        <w:rPr>
          <w:rFonts w:ascii="仿宋_GB2312" w:hAnsi="仿宋_GB2312" w:eastAsia="仿宋_GB2312" w:cs="仿宋_GB2312"/>
          <w:b/>
          <w:bCs/>
          <w:sz w:val="28"/>
          <w:szCs w:val="28"/>
        </w:rPr>
        <w:t>S</w:t>
      </w:r>
      <w:r>
        <w:rPr>
          <w:rFonts w:ascii="仿宋_GB2312" w:hAnsi="仿宋_GB2312" w:eastAsia="仿宋_GB2312" w:cs="仿宋_GB2312"/>
          <w:sz w:val="28"/>
          <w:szCs w:val="28"/>
        </w:rPr>
        <w:t>，其出让合同中约定的容积率为</w:t>
      </w:r>
      <w:r>
        <w:rPr>
          <w:rFonts w:ascii="仿宋_GB2312" w:hAnsi="仿宋_GB2312" w:eastAsia="仿宋_GB2312" w:cs="仿宋_GB2312"/>
          <w:b/>
          <w:bCs/>
          <w:sz w:val="28"/>
          <w:szCs w:val="28"/>
        </w:rPr>
        <w:t>R</w:t>
      </w:r>
      <w:r>
        <w:rPr>
          <w:rFonts w:ascii="仿宋_GB2312" w:hAnsi="仿宋_GB2312" w:eastAsia="仿宋_GB2312" w:cs="仿宋_GB2312"/>
          <w:sz w:val="28"/>
          <w:szCs w:val="28"/>
        </w:rPr>
        <w:t>,已核发销售许可证或预售许可证的建筑面积为</w:t>
      </w:r>
      <w:r>
        <w:rPr>
          <w:rFonts w:ascii="仿宋_GB2312" w:hAnsi="仿宋_GB2312" w:eastAsia="仿宋_GB2312" w:cs="仿宋_GB2312"/>
          <w:b/>
          <w:bCs/>
          <w:sz w:val="28"/>
          <w:szCs w:val="28"/>
        </w:rPr>
        <w:t>A</w:t>
      </w:r>
      <w:r>
        <w:rPr>
          <w:rFonts w:ascii="仿宋_GB2312" w:hAnsi="仿宋_GB2312" w:eastAsia="仿宋_GB2312" w:cs="仿宋_GB2312"/>
          <w:sz w:val="28"/>
          <w:szCs w:val="28"/>
        </w:rPr>
        <w:t>，则未纳入房屋销售的土地面积</w:t>
      </w:r>
      <w:r>
        <w:rPr>
          <w:rFonts w:ascii="仿宋_GB2312" w:hAnsi="仿宋_GB2312" w:eastAsia="仿宋_GB2312" w:cs="仿宋_GB2312"/>
          <w:b/>
          <w:bCs/>
          <w:sz w:val="28"/>
          <w:szCs w:val="28"/>
        </w:rPr>
        <w:t>=S-A/R</w:t>
      </w:r>
      <w:r>
        <w:rPr>
          <w:rFonts w:ascii="仿宋_GB2312" w:hAnsi="仿宋_GB2312" w:eastAsia="仿宋_GB2312" w:cs="仿宋_GB2312"/>
          <w:sz w:val="28"/>
          <w:szCs w:val="28"/>
        </w:rPr>
        <w:t>。其中</w:t>
      </w:r>
      <w:r>
        <w:rPr>
          <w:rFonts w:ascii="仿宋_GB2312" w:hAnsi="仿宋_GB2312" w:eastAsia="仿宋_GB2312" w:cs="仿宋_GB2312"/>
          <w:b/>
          <w:bCs/>
          <w:sz w:val="28"/>
          <w:szCs w:val="28"/>
        </w:rPr>
        <w:t>A</w:t>
      </w:r>
      <w:r>
        <w:rPr>
          <w:rFonts w:ascii="仿宋_GB2312" w:hAnsi="仿宋_GB2312" w:eastAsia="仿宋_GB2312" w:cs="仿宋_GB2312"/>
          <w:sz w:val="28"/>
          <w:szCs w:val="28"/>
        </w:rPr>
        <w:t>的具体数值应根据房屋主管部门依法核发的证载面积确定。</w:t>
      </w:r>
    </w:p>
    <w:p>
      <w:pPr>
        <w:spacing w:line="500" w:lineRule="exact"/>
        <w:rPr>
          <w:rFonts w:ascii="仿宋_GB2312" w:hAnsi="仿宋_GB2312" w:eastAsia="仿宋_GB2312" w:cs="仿宋_GB2312"/>
          <w:sz w:val="28"/>
          <w:szCs w:val="28"/>
        </w:rPr>
        <w:sectPr>
          <w:pgSz w:w="16783" w:h="11850" w:orient="landscape"/>
          <w:pgMar w:top="2098" w:right="1474" w:bottom="1984" w:left="1587" w:header="851" w:footer="992" w:gutter="0"/>
          <w:cols w:space="425" w:num="1"/>
          <w:docGrid w:type="lines" w:linePitch="312" w:charSpace="0"/>
        </w:sectPr>
      </w:pPr>
      <w:r>
        <w:rPr>
          <w:rFonts w:ascii="仿宋_GB2312" w:hAnsi="仿宋_GB2312" w:eastAsia="仿宋_GB2312" w:cs="仿宋_GB2312"/>
          <w:sz w:val="28"/>
          <w:szCs w:val="28"/>
        </w:rPr>
        <w:t>12.各表项数量关系：（7）≥（12）。</w:t>
      </w:r>
    </w:p>
    <w:p>
      <w:pPr>
        <w:spacing w:line="200" w:lineRule="exact"/>
        <w:rPr>
          <w:rFonts w:ascii="仿宋_GB2312" w:hAnsi="仿宋_GB2312" w:eastAsia="仿宋_GB2312" w:cs="仿宋_GB2312"/>
          <w:sz w:val="20"/>
          <w:szCs w:val="20"/>
        </w:rPr>
      </w:pPr>
    </w:p>
    <w:p>
      <w:pPr>
        <w:spacing w:line="200" w:lineRule="exact"/>
        <w:rPr>
          <w:rFonts w:ascii="仿宋_GB2312" w:hAnsi="仿宋_GB2312" w:eastAsia="仿宋_GB2312" w:cs="仿宋_GB2312"/>
          <w:sz w:val="20"/>
          <w:szCs w:val="20"/>
        </w:rPr>
      </w:pPr>
    </w:p>
    <w:p>
      <w:pPr>
        <w:widowControl/>
        <w:jc w:val="center"/>
        <w:textAlignment w:val="center"/>
        <w:rPr>
          <w:rFonts w:ascii="宋体" w:hAnsi="宋体" w:eastAsia="宋体" w:cs="宋体"/>
          <w:b/>
          <w:color w:val="000000"/>
          <w:kern w:val="0"/>
          <w:sz w:val="32"/>
          <w:szCs w:val="32"/>
          <w:lang w:bidi="ar"/>
        </w:rPr>
      </w:pPr>
      <w:r>
        <w:rPr>
          <w:rFonts w:hint="eastAsia" w:ascii="宋体" w:hAnsi="宋体" w:eastAsia="宋体" w:cs="宋体"/>
          <w:b/>
          <w:color w:val="000000"/>
          <w:kern w:val="0"/>
          <w:sz w:val="32"/>
          <w:szCs w:val="32"/>
          <w:lang w:bidi="ar"/>
        </w:rPr>
        <w:t>表2.</w:t>
      </w:r>
      <w:r>
        <w:rPr>
          <w:rFonts w:hint="eastAsia" w:ascii="宋体" w:hAnsi="宋体" w:eastAsia="宋体" w:cs="宋体"/>
          <w:b/>
          <w:color w:val="000000"/>
          <w:kern w:val="0"/>
          <w:sz w:val="32"/>
          <w:szCs w:val="32"/>
          <w:lang w:eastAsia="zh-CN" w:bidi="ar"/>
        </w:rPr>
        <w:t>第十四师昆玉市</w:t>
      </w:r>
      <w:r>
        <w:rPr>
          <w:rFonts w:hint="eastAsia" w:ascii="宋体" w:hAnsi="宋体" w:eastAsia="宋体" w:cs="宋体"/>
          <w:b/>
          <w:color w:val="000000"/>
          <w:kern w:val="0"/>
          <w:sz w:val="32"/>
          <w:szCs w:val="32"/>
          <w:lang w:bidi="ar"/>
        </w:rPr>
        <w:t>存量住宅用地信息汇总表</w:t>
      </w:r>
    </w:p>
    <w:p>
      <w:pPr>
        <w:widowControl/>
        <w:jc w:val="center"/>
        <w:textAlignment w:val="center"/>
        <w:rPr>
          <w:rFonts w:ascii="黑体" w:hAnsi="黑体" w:eastAsia="黑体" w:cs="黑体"/>
          <w:bCs/>
          <w:color w:val="000000"/>
          <w:kern w:val="0"/>
          <w:sz w:val="24"/>
          <w:lang w:bidi="ar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24"/>
          <w:lang w:val="en-US" w:eastAsia="zh-CN" w:bidi="ar"/>
        </w:rPr>
        <w:t xml:space="preserve">                                                                                                </w:t>
      </w:r>
      <w:r>
        <w:rPr>
          <w:rFonts w:hint="eastAsia" w:ascii="黑体" w:hAnsi="黑体" w:eastAsia="黑体" w:cs="黑体"/>
          <w:bCs/>
          <w:color w:val="000000"/>
          <w:kern w:val="0"/>
          <w:sz w:val="24"/>
          <w:lang w:bidi="ar"/>
        </w:rPr>
        <w:t>单位：公顷</w:t>
      </w:r>
    </w:p>
    <w:tbl>
      <w:tblPr>
        <w:tblStyle w:val="3"/>
        <w:tblW w:w="1393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1"/>
        <w:gridCol w:w="2909"/>
        <w:gridCol w:w="2506"/>
        <w:gridCol w:w="3164"/>
        <w:gridCol w:w="32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1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  <w:t>项目总数</w:t>
            </w:r>
          </w:p>
        </w:tc>
        <w:tc>
          <w:tcPr>
            <w:tcW w:w="2909" w:type="dxa"/>
            <w:vMerge w:val="restart"/>
            <w:tcBorders>
              <w:right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  <w:t>存量住宅用地总面积</w:t>
            </w:r>
          </w:p>
        </w:tc>
        <w:tc>
          <w:tcPr>
            <w:tcW w:w="8878" w:type="dxa"/>
            <w:gridSpan w:val="3"/>
            <w:tcBorders>
              <w:left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1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2506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  <w:t>未动工土地面积</w:t>
            </w:r>
          </w:p>
        </w:tc>
        <w:tc>
          <w:tcPr>
            <w:tcW w:w="3164" w:type="dxa"/>
            <w:vMerge w:val="restart"/>
            <w:tcBorders>
              <w:right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  <w:t>已动工未竣工土地面积</w:t>
            </w:r>
          </w:p>
        </w:tc>
        <w:tc>
          <w:tcPr>
            <w:tcW w:w="3208" w:type="dxa"/>
            <w:tcBorders>
              <w:left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2151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2506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164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2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  <w:t>未销售房屋的土地面积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1" w:type="dxa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  <w:t>（1）</w:t>
            </w:r>
          </w:p>
        </w:tc>
        <w:tc>
          <w:tcPr>
            <w:tcW w:w="2909" w:type="dxa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  <w:t>（2）</w:t>
            </w:r>
          </w:p>
        </w:tc>
        <w:tc>
          <w:tcPr>
            <w:tcW w:w="2506" w:type="dxa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  <w:t>（3）</w:t>
            </w:r>
          </w:p>
        </w:tc>
        <w:tc>
          <w:tcPr>
            <w:tcW w:w="3164" w:type="dxa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  <w:t>（4）</w:t>
            </w:r>
          </w:p>
        </w:tc>
        <w:tc>
          <w:tcPr>
            <w:tcW w:w="3208" w:type="dxa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8"/>
                <w:szCs w:val="28"/>
                <w:lang w:bidi="ar"/>
              </w:rPr>
              <w:t>（5）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1" w:type="dxa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8"/>
                <w:szCs w:val="28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4</w:t>
            </w:r>
          </w:p>
        </w:tc>
        <w:tc>
          <w:tcPr>
            <w:tcW w:w="2909" w:type="dxa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18.4</w:t>
            </w:r>
          </w:p>
        </w:tc>
        <w:tc>
          <w:tcPr>
            <w:tcW w:w="2506" w:type="dxa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13.56</w:t>
            </w:r>
          </w:p>
        </w:tc>
        <w:tc>
          <w:tcPr>
            <w:tcW w:w="3164" w:type="dxa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4.84</w:t>
            </w:r>
          </w:p>
        </w:tc>
        <w:tc>
          <w:tcPr>
            <w:tcW w:w="3208" w:type="dxa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2.22</w:t>
            </w:r>
          </w:p>
        </w:tc>
      </w:tr>
    </w:tbl>
    <w:p>
      <w:pPr>
        <w:widowControl/>
        <w:jc w:val="left"/>
        <w:textAlignment w:val="center"/>
        <w:rPr>
          <w:rFonts w:ascii="仿宋_GB2312" w:hAnsi="仿宋_GB2312" w:eastAsia="仿宋_GB2312" w:cs="仿宋_GB2312"/>
          <w:bCs/>
          <w:color w:val="000000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bCs/>
          <w:color w:val="000000"/>
          <w:kern w:val="0"/>
          <w:sz w:val="28"/>
          <w:szCs w:val="28"/>
          <w:lang w:bidi="ar"/>
        </w:rPr>
        <w:t>填表说明：各表项数量关系（2）=（3）+（4），（4）≥（5）。</w:t>
      </w:r>
    </w:p>
    <w:p/>
    <w:sectPr>
      <w:pgSz w:w="16783" w:h="11850" w:orient="landscape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815B6B"/>
    <w:rsid w:val="227D707F"/>
    <w:rsid w:val="5C96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2021-10-28T13:38:00Z</dcterms:created>
  <dc:creator>Administrator</dc:creator>
  <cp:lastModifiedBy>Administrator</cp:lastModifiedBy>
  <dcterms:modified xsi:type="dcterms:W3CDTF">2021-10-29T03:23:41Z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