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 xml:space="preserve">附件1 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重大危险源判定及评分准则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危害的判定，可采用公式 R=MES 的风险评价法计算。式中: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R－</w:t>
      </w:r>
      <w:r>
        <w:rPr>
          <w:rFonts w:hint="eastAsia" w:ascii="仿宋_GB2312" w:hAnsi="仿宋_GB2312" w:eastAsia="仿宋_GB2312" w:cs="仿宋_GB2312"/>
          <w:sz w:val="32"/>
          <w:szCs w:val="32"/>
        </w:rPr>
        <w:t>风险程度值;M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控制措施的状态;E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暴露于危险环境的频繁程度;S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事故的可能后果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控制措施的状态 (M)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9"/>
        <w:gridCol w:w="6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78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分数值</w:t>
            </w:r>
          </w:p>
        </w:tc>
        <w:tc>
          <w:tcPr>
            <w:tcW w:w="67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控制措施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789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67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无控制措施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178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73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有减轻后果的应急措施，包括警报系统、个体防护装置等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78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7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有预防措施，如机器防护装置等，但须保证有效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暴露于危险环境的频繁程度 (E)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6"/>
        <w:gridCol w:w="6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分数值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人员暴露于危险环境中的频繁程度(时间)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连续暴露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每天工作时间内暴露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每天工作一次，或偶然暴露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每月一次暴露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每年几次暴露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648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更少的暴露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说明:8小时不离工作岗位算“连续暴露”，8小时内暴露一至几次的算“每天工作时间暴露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发生事故的可能后果 (S)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7"/>
        <w:gridCol w:w="2233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2027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分数值</w:t>
            </w:r>
          </w:p>
        </w:tc>
        <w:tc>
          <w:tcPr>
            <w:tcW w:w="6495" w:type="dxa"/>
            <w:gridSpan w:val="3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可能的后果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27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伤害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职业相关病症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设备，财产损失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有多人死亡</w:t>
            </w:r>
          </w:p>
        </w:tc>
        <w:tc>
          <w:tcPr>
            <w:tcW w:w="2131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&gt;1 亿元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有一人死亡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职业病(多人)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 千万一1 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永久失能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职业病(一人)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100 万一1000 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需医院治疗、缺工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职业性多发病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 万-100 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轻微、仅需急救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身体不适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&lt;3万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说明: 永久失能:某肢体残缺，或虽未残缺但功能完全丧失。</w:t>
      </w:r>
    </w:p>
    <w:p>
      <w:pPr>
        <w:jc w:val="left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职业病:按原卫生部、劳动人事部、财政部、中华全国总工会(87)卫防字第 60 号文件的规定，包括9类、99 项。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对于人身伤害事故: R=MES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R=MES</w:t>
            </w:r>
          </w:p>
        </w:tc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风险程度 (等级)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≥90</w:t>
            </w:r>
          </w:p>
        </w:tc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一级(重大)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60-90</w:t>
            </w:r>
          </w:p>
        </w:tc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二级（重大）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40-59</w:t>
            </w:r>
          </w:p>
        </w:tc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三级（重大）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20-39</w:t>
            </w:r>
          </w:p>
        </w:tc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≤20</w:t>
            </w:r>
          </w:p>
        </w:tc>
        <w:tc>
          <w:tcPr>
            <w:tcW w:w="426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五级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根据实际，将风险值 R≥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0 以上的危害，即风险程度等级为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 xml:space="preserve">级的定为重大危害事故的可能后果 S≥8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以上的定为重大危害。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xMGU2MGFjOTIxODUwMTljYzI1MDRiZDk4MTUxMDUifQ=="/>
  </w:docVars>
  <w:rsids>
    <w:rsidRoot w:val="3C437C98"/>
    <w:rsid w:val="01A5597B"/>
    <w:rsid w:val="3C437C98"/>
    <w:rsid w:val="57B3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555</Words>
  <Characters>614</Characters>
  <Lines>0</Lines>
  <Paragraphs>0</Paragraphs>
  <TotalTime>13</TotalTime>
  <ScaleCrop>false</ScaleCrop>
  <LinksUpToDate>false</LinksUpToDate>
  <CharactersWithSpaces>637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2023-07-18T05:38:00Z</dcterms:created>
  <dc:creator>陈俊</dc:creator>
  <cp:lastModifiedBy>陈俊</cp:lastModifiedBy>
  <dcterms:modified xsi:type="dcterms:W3CDTF">2023-07-23T13:17:13Z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51B5343097FA4C07A84BFE701A52B784_11</vt:lpwstr>
  </property>
</Properties>
</file>