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附件二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8"/>
          <w:lang w:val="en-US" w:eastAsia="zh-CN"/>
        </w:rPr>
        <w:t>师市生态环境领域危险源、风险区域评价表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8"/>
          <w:lang w:val="en-US" w:eastAsia="zh-CN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单位：师市生态环境局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794"/>
        <w:gridCol w:w="1933"/>
        <w:gridCol w:w="1227"/>
        <w:gridCol w:w="2387"/>
        <w:gridCol w:w="479"/>
        <w:gridCol w:w="733"/>
        <w:gridCol w:w="547"/>
        <w:gridCol w:w="987"/>
        <w:gridCol w:w="866"/>
        <w:gridCol w:w="600"/>
        <w:gridCol w:w="694"/>
        <w:gridCol w:w="2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10" w:hRule="atLeast"/>
        </w:trPr>
        <w:tc>
          <w:tcPr>
            <w:tcW w:w="79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93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企事业单位</w:t>
            </w:r>
          </w:p>
        </w:tc>
        <w:tc>
          <w:tcPr>
            <w:tcW w:w="122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危险源</w:t>
            </w:r>
          </w:p>
        </w:tc>
        <w:tc>
          <w:tcPr>
            <w:tcW w:w="238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可能导致的事故</w:t>
            </w:r>
          </w:p>
        </w:tc>
        <w:tc>
          <w:tcPr>
            <w:tcW w:w="361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风险评价</w:t>
            </w:r>
          </w:p>
        </w:tc>
        <w:tc>
          <w:tcPr>
            <w:tcW w:w="129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是否重大危险源、风险区域</w:t>
            </w:r>
          </w:p>
        </w:tc>
        <w:tc>
          <w:tcPr>
            <w:tcW w:w="292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安全防范措施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77" w:hRule="atLeast"/>
        </w:trPr>
        <w:tc>
          <w:tcPr>
            <w:tcW w:w="794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933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2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38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M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E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S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R=MES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级别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是</w:t>
            </w: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否</w:t>
            </w:r>
          </w:p>
        </w:tc>
        <w:tc>
          <w:tcPr>
            <w:tcW w:w="292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新疆昆玉市玉能环保科技有限责任公司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危废单位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昆玉市河润嘉源环保科技有限公司/昆玉市生活污水处理厂、工业园区污水处理厂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危废单位;一般固废单位；污水处理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危险废物泄露、逸散；气体中毒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；4.按照国家相关要求管理危险废物；5.保障污水处理车间通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和田青松建材有限责任公司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危废单位;一般固废单位；核技术利用单位；脱硝设备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危险废物泄露、逸散；固体废物乱丢乱放；放射源泄露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24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四级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；4.按照国家相关要求管理危险废物；5.按照《辐射应急预案》，做好人员培训、佩戴辐射剂量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和田中汇矿业开发有限责任公司中汇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危废单位;一般固废单位；脱硫设备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危险废物泄露、逸散；固体废物乱丢乱放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；4.按照国家相关要求管理危险废物；5.做好固体废物管理，避免污染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昆玉市中晟建材有限公司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一般固废单位；脱硫设备</w:t>
            </w:r>
            <w:bookmarkStart w:id="0" w:name="_GoBack"/>
            <w:bookmarkEnd w:id="0"/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固体废物乱丢乱放；灼烫、烟气中毒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1.制定《突发环境事件应急预案》并备案，及时开展应急演练；2.做好人员防护；3.按照国家相关要求做好检修排故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47团污水处理设施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污水处理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气体中毒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36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四级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1.保障污水处理车间通风；2.做好人员防护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225团污水处理设施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污水处理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气体中毒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36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四级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1.保障污水处理车间通风；2.做好人员防护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一牧场污水处理设施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污水处理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气体中毒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36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四级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1.保障污水处理车间通风；2.做好人员防护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皮山农场污水处理设施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污水处理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气体中毒</w:t>
            </w: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36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四级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1.保障污水处理车间通风；2.做好人员防护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新疆生产建设兵团第十四师二二五团医院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医疗废物；核技术利用单位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危险废物泄露、逸散；放射源泄露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0.5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；4.按照国家相关要求管理危险废物；5.按照《辐射应急预案》，做好人员培训、佩戴辐射剂量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新疆生产建设兵团第十四师一牧场医院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医疗废物；核技术利用单位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危险废物泄露、逸散；放射源泄露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0.5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；4.按照国家相关要求管理危险废物；5.按照《辐射应急预案》，做好人员培训、佩戴辐射剂量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第十四师医院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医疗废物；核技术利用单位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危险废物泄露、逸散；放射源泄露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0.5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；4.按照国家相关要求管理危险废物；5.按照《辐射应急预案》，做好人员培训、佩戴辐射剂量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十四师皮山农场医院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医疗废物；核技术利用单位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危险废物泄露、逸散；放射源泄露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0.5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；4.按照国家相关要求管理危险废物；5.按照《辐射应急预案》，做好人员培训、佩戴辐射剂量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14</w:t>
            </w:r>
          </w:p>
        </w:tc>
        <w:tc>
          <w:tcPr>
            <w:tcW w:w="19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四十七团医院</w:t>
            </w:r>
          </w:p>
        </w:tc>
        <w:tc>
          <w:tcPr>
            <w:tcW w:w="12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医疗废物；核技术利用单位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危险废物泄露、逸散；放射源泄露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0.5</w:t>
            </w:r>
          </w:p>
        </w:tc>
        <w:tc>
          <w:tcPr>
            <w:tcW w:w="5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五级</w:t>
            </w: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√</w:t>
            </w:r>
          </w:p>
        </w:tc>
        <w:tc>
          <w:tcPr>
            <w:tcW w:w="292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.制定《突发环境事件应急预案》并备案，及时开展应急演练；2.按照国家相关规范要求设置危险废物暂存设施；3.做好人员防护、防火、防盗、防泄露、逸散；4.按照国家相关要求管理危险废物；5.按照《辐射应急预案》，做好人员培训、佩戴辐射剂量仪</w:t>
            </w:r>
          </w:p>
        </w:tc>
      </w:tr>
    </w:tbl>
    <w:p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xMGU2MGFjOTIxODUwMTljYzI1MDRiZDk4MTUxMDUifQ=="/>
  </w:docVars>
  <w:rsids>
    <w:rsidRoot w:val="41A141AF"/>
    <w:rsid w:val="1CB86F6A"/>
    <w:rsid w:val="41A1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2023-07-23T11:44:00Z</dcterms:created>
  <dc:creator>陈俊</dc:creator>
  <cp:lastModifiedBy>陈俊</cp:lastModifiedBy>
  <dcterms:modified xsi:type="dcterms:W3CDTF">2023-07-23T13:15:34Z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D1CB3AB0BD154FC69299AE3C5B68A586_11</vt:lpwstr>
  </property>
</Properties>
</file>