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kinsoku/>
        <w:wordWrap/>
        <w:overflowPunct/>
        <w:topLinePunct w:val="0"/>
        <w:autoSpaceDE/>
        <w:autoSpaceDN/>
        <w:bidi w:val="0"/>
        <w:adjustRightInd w:val="0"/>
        <w:snapToGrid w:val="0"/>
        <w:spacing w:line="560" w:lineRule="exact"/>
        <w:jc w:val="center"/>
        <w:textAlignment w:val="auto"/>
        <w:outlineLvl w:val="9"/>
        <w:rPr>
          <w:rFonts w:hint="default" w:ascii="Times New Roman" w:hAnsi="Times New Roman" w:eastAsia="方正小标宋简体" w:cs="Times New Roman"/>
          <w:color w:val="000000"/>
          <w:sz w:val="44"/>
          <w:szCs w:val="44"/>
          <w:lang w:val="en-US" w:eastAsia="zh-CN" w:bidi="ar-SA"/>
        </w:rPr>
      </w:pPr>
      <w:r>
        <w:rPr>
          <w:rFonts w:hint="default" w:ascii="Times New Roman" w:hAnsi="Times New Roman" w:eastAsia="方正小标宋简体" w:cs="Times New Roman"/>
          <w:color w:val="000000"/>
          <w:sz w:val="44"/>
          <w:szCs w:val="44"/>
          <w:lang w:val="en-US" w:eastAsia="zh-CN" w:bidi="ar-SA"/>
        </w:rPr>
        <w:t>20</w:t>
      </w:r>
      <w:r>
        <w:rPr>
          <w:rFonts w:hint="eastAsia" w:ascii="Times New Roman" w:hAnsi="Times New Roman" w:eastAsia="方正小标宋简体" w:cs="Times New Roman"/>
          <w:color w:val="000000"/>
          <w:sz w:val="44"/>
          <w:szCs w:val="44"/>
          <w:lang w:val="en-US" w:eastAsia="zh-CN" w:bidi="ar-SA"/>
        </w:rPr>
        <w:t>23</w:t>
      </w:r>
      <w:r>
        <w:rPr>
          <w:rFonts w:hint="default" w:ascii="Times New Roman" w:hAnsi="Times New Roman" w:eastAsia="方正小标宋简体" w:cs="Times New Roman"/>
          <w:color w:val="000000"/>
          <w:sz w:val="44"/>
          <w:szCs w:val="44"/>
          <w:lang w:val="en-US" w:eastAsia="zh-CN" w:bidi="ar-SA"/>
        </w:rPr>
        <w:t>年第</w:t>
      </w:r>
      <w:r>
        <w:rPr>
          <w:rFonts w:hint="eastAsia" w:ascii="Times New Roman" w:hAnsi="Times New Roman" w:eastAsia="方正小标宋简体" w:cs="Times New Roman"/>
          <w:color w:val="000000"/>
          <w:sz w:val="44"/>
          <w:szCs w:val="44"/>
          <w:lang w:val="en-US" w:eastAsia="zh-CN" w:bidi="ar-SA"/>
        </w:rPr>
        <w:t>二</w:t>
      </w:r>
      <w:r>
        <w:rPr>
          <w:rFonts w:hint="default" w:ascii="Times New Roman" w:hAnsi="Times New Roman" w:eastAsia="方正小标宋简体" w:cs="Times New Roman"/>
          <w:color w:val="000000"/>
          <w:sz w:val="44"/>
          <w:szCs w:val="44"/>
          <w:lang w:val="en-US" w:eastAsia="zh-CN" w:bidi="ar-SA"/>
        </w:rPr>
        <w:t>批享受</w:t>
      </w:r>
      <w:r>
        <w:rPr>
          <w:rFonts w:hint="eastAsia" w:ascii="Times New Roman" w:hAnsi="Times New Roman" w:eastAsia="方正小标宋简体" w:cs="Times New Roman"/>
          <w:color w:val="000000"/>
          <w:sz w:val="44"/>
          <w:szCs w:val="44"/>
          <w:lang w:val="en-US" w:eastAsia="zh-CN" w:bidi="ar-SA"/>
        </w:rPr>
        <w:t>失业保险</w:t>
      </w:r>
      <w:r>
        <w:rPr>
          <w:rFonts w:hint="default" w:ascii="Times New Roman" w:hAnsi="Times New Roman" w:eastAsia="方正小标宋简体" w:cs="Times New Roman"/>
          <w:color w:val="000000"/>
          <w:sz w:val="44"/>
          <w:szCs w:val="44"/>
          <w:lang w:val="en-US" w:eastAsia="zh-CN" w:bidi="ar-SA"/>
        </w:rPr>
        <w:t>稳岗返还公示名单</w:t>
      </w:r>
    </w:p>
    <w:p>
      <w:pPr>
        <w:pStyle w:val="4"/>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outlineLvl w:val="9"/>
        <w:rPr>
          <w:rFonts w:hint="default" w:ascii="Times New Roman" w:hAnsi="Times New Roman" w:eastAsia="仿宋_GB2312" w:cs="Times New Roman"/>
          <w:color w:val="000000"/>
          <w:sz w:val="32"/>
          <w:szCs w:val="32"/>
          <w:lang w:val="en-US" w:eastAsia="zh-CN" w:bidi="ar-SA"/>
        </w:rPr>
      </w:pPr>
    </w:p>
    <w:p>
      <w:pPr>
        <w:pStyle w:val="4"/>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outlineLvl w:val="9"/>
        <w:rPr>
          <w:rFonts w:hint="default" w:ascii="Times New Roman" w:hAnsi="Times New Roman" w:eastAsia="仿宋_GB2312" w:cs="Times New Roman"/>
          <w:color w:val="000000"/>
          <w:sz w:val="32"/>
          <w:szCs w:val="32"/>
          <w:lang w:val="en-US" w:eastAsia="zh-CN" w:bidi="ar-SA"/>
        </w:rPr>
      </w:pPr>
      <w:r>
        <w:rPr>
          <w:rFonts w:hint="default" w:ascii="Times New Roman" w:hAnsi="Times New Roman" w:eastAsia="仿宋_GB2312" w:cs="Times New Roman"/>
          <w:color w:val="000000"/>
          <w:sz w:val="32"/>
          <w:szCs w:val="32"/>
          <w:lang w:val="en-US" w:eastAsia="zh-CN" w:bidi="ar-SA"/>
        </w:rPr>
        <w:t>为</w:t>
      </w:r>
      <w:r>
        <w:rPr>
          <w:rFonts w:hint="eastAsia" w:ascii="Times New Roman" w:hAnsi="Times New Roman" w:eastAsia="仿宋_GB2312" w:cs="Times New Roman"/>
          <w:color w:val="000000"/>
          <w:sz w:val="32"/>
          <w:szCs w:val="32"/>
          <w:lang w:val="en-US" w:eastAsia="zh-CN" w:bidi="ar-SA"/>
        </w:rPr>
        <w:t>充分发挥失业保险保生活、防失业、促就业功能作用</w:t>
      </w:r>
      <w:r>
        <w:rPr>
          <w:rFonts w:hint="default" w:ascii="Times New Roman" w:hAnsi="Times New Roman" w:eastAsia="仿宋_GB2312" w:cs="Times New Roman"/>
          <w:color w:val="000000"/>
          <w:sz w:val="32"/>
          <w:szCs w:val="32"/>
          <w:lang w:val="en-US" w:eastAsia="zh-CN" w:bidi="ar-SA"/>
        </w:rPr>
        <w:t>，根据《</w:t>
      </w:r>
      <w:r>
        <w:rPr>
          <w:rFonts w:hint="eastAsia" w:ascii="Times New Roman" w:hAnsi="Times New Roman" w:eastAsia="仿宋_GB2312" w:cs="Times New Roman"/>
          <w:color w:val="000000"/>
          <w:sz w:val="32"/>
          <w:szCs w:val="32"/>
          <w:lang w:val="en-US" w:eastAsia="zh-CN" w:bidi="ar-SA"/>
        </w:rPr>
        <w:t>兵团办公厅关于优化调整兵团稳就业政策措施全力促发展惠民生的通知</w:t>
      </w:r>
      <w:r>
        <w:rPr>
          <w:rFonts w:hint="default" w:ascii="Times New Roman" w:hAnsi="Times New Roman" w:eastAsia="仿宋_GB2312" w:cs="Times New Roman"/>
          <w:color w:val="000000"/>
          <w:sz w:val="32"/>
          <w:szCs w:val="32"/>
          <w:lang w:val="en-US" w:eastAsia="zh-CN" w:bidi="ar-SA"/>
        </w:rPr>
        <w:t>》（</w:t>
      </w:r>
      <w:r>
        <w:rPr>
          <w:rFonts w:hint="eastAsia" w:ascii="Times New Roman" w:hAnsi="Times New Roman" w:eastAsia="仿宋_GB2312" w:cs="Times New Roman"/>
          <w:color w:val="000000"/>
          <w:sz w:val="32"/>
          <w:szCs w:val="32"/>
          <w:lang w:val="en-US" w:eastAsia="zh-CN" w:bidi="ar-SA"/>
        </w:rPr>
        <w:t>新兵办</w:t>
      </w:r>
      <w:r>
        <w:rPr>
          <w:rFonts w:hint="default" w:ascii="Times New Roman" w:hAnsi="Times New Roman" w:eastAsia="仿宋_GB2312" w:cs="Times New Roman"/>
          <w:color w:val="000000"/>
          <w:sz w:val="32"/>
          <w:szCs w:val="32"/>
          <w:lang w:val="en-US" w:eastAsia="zh-CN" w:bidi="ar-SA"/>
        </w:rPr>
        <w:t>发〔202</w:t>
      </w:r>
      <w:r>
        <w:rPr>
          <w:rFonts w:hint="eastAsia" w:ascii="Times New Roman" w:hAnsi="Times New Roman" w:eastAsia="仿宋_GB2312" w:cs="Times New Roman"/>
          <w:color w:val="000000"/>
          <w:sz w:val="32"/>
          <w:szCs w:val="32"/>
          <w:lang w:val="en-US" w:eastAsia="zh-CN" w:bidi="ar-SA"/>
        </w:rPr>
        <w:t>3</w:t>
      </w:r>
      <w:r>
        <w:rPr>
          <w:rFonts w:hint="default" w:ascii="Times New Roman" w:hAnsi="Times New Roman" w:eastAsia="仿宋_GB2312" w:cs="Times New Roman"/>
          <w:color w:val="000000"/>
          <w:sz w:val="32"/>
          <w:szCs w:val="32"/>
          <w:lang w:val="en-US" w:eastAsia="zh-CN" w:bidi="ar-SA"/>
        </w:rPr>
        <w:t>〕</w:t>
      </w:r>
      <w:r>
        <w:rPr>
          <w:rFonts w:hint="eastAsia" w:ascii="Times New Roman" w:hAnsi="Times New Roman" w:eastAsia="仿宋_GB2312" w:cs="Times New Roman"/>
          <w:color w:val="000000"/>
          <w:sz w:val="32"/>
          <w:szCs w:val="32"/>
          <w:lang w:val="en-US" w:eastAsia="zh-CN" w:bidi="ar-SA"/>
        </w:rPr>
        <w:t>35</w:t>
      </w:r>
      <w:r>
        <w:rPr>
          <w:rFonts w:hint="default" w:ascii="Times New Roman" w:hAnsi="Times New Roman" w:eastAsia="仿宋_GB2312" w:cs="Times New Roman"/>
          <w:color w:val="000000"/>
          <w:sz w:val="32"/>
          <w:szCs w:val="32"/>
          <w:lang w:val="en-US" w:eastAsia="zh-CN" w:bidi="ar-SA"/>
        </w:rPr>
        <w:t>号）精神，兵团继续</w:t>
      </w:r>
      <w:r>
        <w:rPr>
          <w:rFonts w:hint="eastAsia" w:ascii="Times New Roman" w:hAnsi="Times New Roman" w:eastAsia="仿宋_GB2312" w:cs="Times New Roman"/>
          <w:color w:val="000000"/>
          <w:sz w:val="32"/>
          <w:szCs w:val="32"/>
          <w:lang w:val="en-US" w:eastAsia="zh-CN" w:bidi="ar-SA"/>
        </w:rPr>
        <w:t>推行</w:t>
      </w:r>
      <w:r>
        <w:rPr>
          <w:rFonts w:hint="default" w:ascii="Times New Roman" w:hAnsi="Times New Roman" w:eastAsia="仿宋_GB2312" w:cs="Times New Roman"/>
          <w:color w:val="000000"/>
          <w:sz w:val="32"/>
          <w:szCs w:val="32"/>
          <w:lang w:val="en-US" w:eastAsia="zh-CN" w:bidi="ar-SA"/>
        </w:rPr>
        <w:t>失业保险稳岗返还</w:t>
      </w:r>
      <w:r>
        <w:rPr>
          <w:rFonts w:hint="eastAsia" w:ascii="Times New Roman" w:hAnsi="Times New Roman" w:eastAsia="仿宋_GB2312" w:cs="Times New Roman"/>
          <w:color w:val="000000"/>
          <w:sz w:val="32"/>
          <w:szCs w:val="32"/>
          <w:lang w:val="en-US" w:eastAsia="zh-CN" w:bidi="ar-SA"/>
        </w:rPr>
        <w:t>“免申即享”经办模式，</w:t>
      </w:r>
      <w:r>
        <w:rPr>
          <w:rFonts w:hint="default" w:ascii="Times New Roman" w:hAnsi="Times New Roman" w:eastAsia="仿宋_GB2312" w:cs="Times New Roman"/>
          <w:color w:val="000000"/>
          <w:sz w:val="32"/>
          <w:szCs w:val="32"/>
          <w:lang w:val="en-US" w:eastAsia="zh-CN" w:bidi="ar-SA"/>
        </w:rPr>
        <w:t>符合条件的参保单位可享受失业保险稳岗返还。</w:t>
      </w:r>
    </w:p>
    <w:p>
      <w:pPr>
        <w:pStyle w:val="4"/>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outlineLvl w:val="9"/>
        <w:rPr>
          <w:rFonts w:hint="default" w:ascii="Times New Roman" w:hAnsi="Times New Roman" w:eastAsia="仿宋_GB2312" w:cs="Times New Roman"/>
          <w:color w:val="000000"/>
          <w:sz w:val="32"/>
          <w:szCs w:val="32"/>
          <w:lang w:val="en-US" w:eastAsia="zh-CN" w:bidi="ar-SA"/>
        </w:rPr>
      </w:pPr>
      <w:r>
        <w:rPr>
          <w:rFonts w:hint="default" w:ascii="Times New Roman" w:hAnsi="Times New Roman" w:eastAsia="仿宋_GB2312" w:cs="Times New Roman"/>
          <w:color w:val="000000"/>
          <w:sz w:val="32"/>
          <w:szCs w:val="32"/>
          <w:lang w:val="en-US" w:eastAsia="zh-CN" w:bidi="ar-SA"/>
        </w:rPr>
        <w:t>经审核，排除不符合条件</w:t>
      </w:r>
      <w:r>
        <w:rPr>
          <w:rFonts w:hint="eastAsia" w:ascii="Times New Roman" w:hAnsi="Times New Roman" w:eastAsia="仿宋_GB2312" w:cs="Times New Roman"/>
          <w:color w:val="000000"/>
          <w:sz w:val="32"/>
          <w:szCs w:val="32"/>
          <w:lang w:val="en-US" w:eastAsia="zh-CN" w:bidi="ar-SA"/>
        </w:rPr>
        <w:t>单位名单</w:t>
      </w:r>
      <w:r>
        <w:rPr>
          <w:rFonts w:hint="default" w:ascii="Times New Roman" w:hAnsi="Times New Roman" w:eastAsia="仿宋_GB2312" w:cs="Times New Roman"/>
          <w:color w:val="000000"/>
          <w:sz w:val="32"/>
          <w:szCs w:val="32"/>
          <w:lang w:val="en-US" w:eastAsia="zh-CN" w:bidi="ar-SA"/>
        </w:rPr>
        <w:t>，第</w:t>
      </w:r>
      <w:r>
        <w:rPr>
          <w:rFonts w:hint="eastAsia" w:ascii="Times New Roman" w:hAnsi="Times New Roman" w:eastAsia="仿宋_GB2312" w:cs="Times New Roman"/>
          <w:color w:val="000000"/>
          <w:sz w:val="32"/>
          <w:szCs w:val="32"/>
          <w:lang w:val="en-US" w:eastAsia="zh-CN" w:bidi="ar-SA"/>
        </w:rPr>
        <w:t>二</w:t>
      </w:r>
      <w:r>
        <w:rPr>
          <w:rFonts w:hint="default" w:ascii="Times New Roman" w:hAnsi="Times New Roman" w:eastAsia="仿宋_GB2312" w:cs="Times New Roman"/>
          <w:color w:val="000000"/>
          <w:sz w:val="32"/>
          <w:szCs w:val="32"/>
          <w:lang w:val="en-US" w:eastAsia="zh-CN" w:bidi="ar-SA"/>
        </w:rPr>
        <w:t>批可享受失业保险稳岗返还单位共有</w:t>
      </w:r>
      <w:r>
        <w:rPr>
          <w:rFonts w:hint="eastAsia" w:ascii="Times New Roman" w:hAnsi="Times New Roman" w:eastAsia="仿宋_GB2312" w:cs="Times New Roman"/>
          <w:color w:val="000000"/>
          <w:sz w:val="32"/>
          <w:szCs w:val="32"/>
          <w:lang w:val="en-US" w:eastAsia="zh-CN" w:bidi="ar-SA"/>
        </w:rPr>
        <w:t>7</w:t>
      </w:r>
      <w:r>
        <w:rPr>
          <w:rFonts w:hint="default" w:ascii="Times New Roman" w:hAnsi="Times New Roman" w:eastAsia="仿宋_GB2312" w:cs="Times New Roman"/>
          <w:color w:val="000000"/>
          <w:sz w:val="32"/>
          <w:szCs w:val="32"/>
          <w:lang w:val="en-US" w:eastAsia="zh-CN" w:bidi="ar-SA"/>
        </w:rPr>
        <w:t>家，拟发放稳岗返还金额共计</w:t>
      </w:r>
      <w:r>
        <w:rPr>
          <w:rFonts w:hint="eastAsia" w:ascii="Times New Roman" w:hAnsi="Times New Roman" w:eastAsia="仿宋_GB2312" w:cs="Times New Roman"/>
          <w:color w:val="000000"/>
          <w:sz w:val="32"/>
          <w:szCs w:val="32"/>
          <w:lang w:val="en-US" w:eastAsia="zh-CN" w:bidi="ar-SA"/>
        </w:rPr>
        <w:t>0.44</w:t>
      </w:r>
      <w:r>
        <w:rPr>
          <w:rFonts w:hint="eastAsia" w:ascii="仿宋_GB2312" w:hAnsi="仿宋_GB2312" w:eastAsia="仿宋_GB2312" w:cs="仿宋_GB2312"/>
          <w:sz w:val="32"/>
          <w:szCs w:val="32"/>
          <w:lang w:val="en-US" w:eastAsia="zh-CN"/>
        </w:rPr>
        <w:t>万</w:t>
      </w:r>
      <w:r>
        <w:rPr>
          <w:rFonts w:hint="default" w:ascii="Times New Roman" w:hAnsi="Times New Roman" w:eastAsia="仿宋_GB2312" w:cs="Times New Roman"/>
          <w:color w:val="000000"/>
          <w:sz w:val="32"/>
          <w:szCs w:val="32"/>
          <w:lang w:val="en-US" w:eastAsia="zh-CN" w:bidi="ar-SA"/>
        </w:rPr>
        <w:t>元，现予以公示。公示期为</w:t>
      </w:r>
      <w:r>
        <w:rPr>
          <w:rFonts w:hint="eastAsia" w:ascii="Times New Roman" w:hAnsi="Times New Roman" w:eastAsia="仿宋_GB2312" w:cs="Times New Roman"/>
          <w:color w:val="000000"/>
          <w:sz w:val="32"/>
          <w:szCs w:val="32"/>
          <w:lang w:val="en-US" w:eastAsia="zh-CN" w:bidi="ar-SA"/>
        </w:rPr>
        <w:t>11</w:t>
      </w:r>
      <w:r>
        <w:rPr>
          <w:rFonts w:hint="default" w:ascii="Times New Roman" w:hAnsi="Times New Roman" w:eastAsia="仿宋_GB2312" w:cs="Times New Roman"/>
          <w:color w:val="000000"/>
          <w:sz w:val="32"/>
          <w:szCs w:val="32"/>
          <w:lang w:val="en-US" w:eastAsia="zh-CN" w:bidi="ar-SA"/>
        </w:rPr>
        <w:t>月</w:t>
      </w:r>
      <w:r>
        <w:rPr>
          <w:rFonts w:hint="eastAsia" w:ascii="Times New Roman" w:hAnsi="Times New Roman" w:eastAsia="仿宋_GB2312" w:cs="Times New Roman"/>
          <w:color w:val="000000"/>
          <w:sz w:val="32"/>
          <w:szCs w:val="32"/>
          <w:lang w:val="en-US" w:eastAsia="zh-CN" w:bidi="ar-SA"/>
        </w:rPr>
        <w:t>16</w:t>
      </w:r>
      <w:r>
        <w:rPr>
          <w:rFonts w:hint="default" w:ascii="Times New Roman" w:hAnsi="Times New Roman" w:eastAsia="仿宋_GB2312" w:cs="Times New Roman"/>
          <w:color w:val="000000"/>
          <w:sz w:val="32"/>
          <w:szCs w:val="32"/>
          <w:lang w:val="en-US" w:eastAsia="zh-CN" w:bidi="ar-SA"/>
        </w:rPr>
        <w:t>日至</w:t>
      </w:r>
      <w:r>
        <w:rPr>
          <w:rFonts w:hint="eastAsia" w:ascii="Times New Roman" w:hAnsi="Times New Roman" w:eastAsia="仿宋_GB2312" w:cs="Times New Roman"/>
          <w:color w:val="000000"/>
          <w:sz w:val="32"/>
          <w:szCs w:val="32"/>
          <w:lang w:val="en-US" w:eastAsia="zh-CN" w:bidi="ar-SA"/>
        </w:rPr>
        <w:t>11</w:t>
      </w:r>
      <w:r>
        <w:rPr>
          <w:rFonts w:hint="default" w:ascii="Times New Roman" w:hAnsi="Times New Roman" w:eastAsia="仿宋_GB2312" w:cs="Times New Roman"/>
          <w:color w:val="000000"/>
          <w:sz w:val="32"/>
          <w:szCs w:val="32"/>
          <w:lang w:val="en-US" w:eastAsia="zh-CN" w:bidi="ar-SA"/>
        </w:rPr>
        <w:t>月</w:t>
      </w:r>
      <w:r>
        <w:rPr>
          <w:rFonts w:hint="eastAsia" w:ascii="Times New Roman" w:hAnsi="Times New Roman" w:eastAsia="仿宋_GB2312" w:cs="Times New Roman"/>
          <w:color w:val="000000"/>
          <w:sz w:val="32"/>
          <w:szCs w:val="32"/>
          <w:lang w:val="en-US" w:eastAsia="zh-CN" w:bidi="ar-SA"/>
        </w:rPr>
        <w:t>22</w:t>
      </w:r>
      <w:r>
        <w:rPr>
          <w:rFonts w:hint="default" w:ascii="Times New Roman" w:hAnsi="Times New Roman" w:eastAsia="仿宋_GB2312" w:cs="Times New Roman"/>
          <w:color w:val="000000"/>
          <w:sz w:val="32"/>
          <w:szCs w:val="32"/>
          <w:lang w:val="en-US" w:eastAsia="zh-CN" w:bidi="ar-SA"/>
        </w:rPr>
        <w:t>日，共5个工作日。公示期间，如对公示结果有异议，认为公示对象不符合条件或对单位情况存在异议的，请通过书面或电话形式向第</w:t>
      </w:r>
      <w:r>
        <w:rPr>
          <w:rFonts w:hint="eastAsia" w:ascii="Times New Roman" w:hAnsi="Times New Roman" w:eastAsia="仿宋_GB2312" w:cs="Times New Roman"/>
          <w:color w:val="000000"/>
          <w:sz w:val="32"/>
          <w:szCs w:val="32"/>
          <w:lang w:val="en-US" w:eastAsia="zh-CN" w:bidi="ar-SA"/>
        </w:rPr>
        <w:t>十四</w:t>
      </w:r>
      <w:r>
        <w:rPr>
          <w:rFonts w:hint="default" w:ascii="Times New Roman" w:hAnsi="Times New Roman" w:eastAsia="仿宋_GB2312" w:cs="Times New Roman"/>
          <w:color w:val="000000"/>
          <w:sz w:val="32"/>
          <w:szCs w:val="32"/>
          <w:lang w:val="en-US" w:eastAsia="zh-CN" w:bidi="ar-SA"/>
        </w:rPr>
        <w:t>师人力资源和社会保障局反映情况。</w:t>
      </w:r>
    </w:p>
    <w:p>
      <w:pPr>
        <w:pStyle w:val="4"/>
        <w:keepNext w:val="0"/>
        <w:keepLines w:val="0"/>
        <w:pageBreakBefore w:val="0"/>
        <w:widowControl/>
        <w:kinsoku/>
        <w:wordWrap w:val="0"/>
        <w:overflowPunct/>
        <w:topLinePunct w:val="0"/>
        <w:autoSpaceDE/>
        <w:autoSpaceDN/>
        <w:bidi w:val="0"/>
        <w:adjustRightInd w:val="0"/>
        <w:snapToGrid w:val="0"/>
        <w:spacing w:after="0" w:line="560" w:lineRule="exact"/>
        <w:ind w:firstLine="640" w:firstLineChars="200"/>
        <w:jc w:val="both"/>
        <w:textAlignment w:val="auto"/>
        <w:outlineLvl w:val="9"/>
        <w:rPr>
          <w:rFonts w:hint="default" w:ascii="Times New Roman" w:hAnsi="Times New Roman" w:eastAsia="仿宋_GB2312" w:cs="Times New Roman"/>
          <w:color w:val="000000"/>
          <w:sz w:val="32"/>
          <w:szCs w:val="32"/>
          <w:lang w:val="en-US" w:eastAsia="zh-CN" w:bidi="ar-SA"/>
        </w:rPr>
      </w:pPr>
      <w:r>
        <w:rPr>
          <w:rFonts w:hint="default" w:ascii="Times New Roman" w:hAnsi="Times New Roman" w:eastAsia="仿宋_GB2312" w:cs="Times New Roman"/>
          <w:color w:val="000000"/>
          <w:sz w:val="32"/>
          <w:szCs w:val="32"/>
          <w:lang w:val="en-US" w:eastAsia="zh-CN" w:bidi="ar-SA"/>
        </w:rPr>
        <w:t>公示期满无异议的，将向上述单位发放稳岗返还。对符合稳岗返还条件但尚无法获取单位银行信息的企业及其他</w:t>
      </w:r>
      <w:r>
        <w:rPr>
          <w:rFonts w:hint="eastAsia" w:ascii="Times New Roman" w:hAnsi="Times New Roman" w:eastAsia="仿宋_GB2312" w:cs="Times New Roman"/>
          <w:color w:val="000000"/>
          <w:sz w:val="32"/>
          <w:szCs w:val="32"/>
          <w:lang w:val="en-US" w:eastAsia="zh-CN" w:bidi="ar-SA"/>
        </w:rPr>
        <w:t>单位</w:t>
      </w:r>
      <w:r>
        <w:rPr>
          <w:rFonts w:hint="default" w:ascii="Times New Roman" w:hAnsi="Times New Roman" w:eastAsia="仿宋_GB2312" w:cs="Times New Roman"/>
          <w:color w:val="000000"/>
          <w:sz w:val="32"/>
          <w:szCs w:val="32"/>
          <w:lang w:val="en-US" w:eastAsia="zh-CN" w:bidi="ar-SA"/>
        </w:rPr>
        <w:t>，应及时登录兵团人力资源和社会保障公共服务门户（https://www.xjbthrss.cn）确认单位银行信息，以便对参保单位分期分批公示发放。</w:t>
      </w:r>
    </w:p>
    <w:p>
      <w:pPr>
        <w:pStyle w:val="4"/>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outlineLvl w:val="9"/>
        <w:rPr>
          <w:rFonts w:hint="default" w:ascii="Times New Roman" w:hAnsi="Times New Roman" w:eastAsia="仿宋_GB2312" w:cs="Times New Roman"/>
          <w:color w:val="000000"/>
          <w:sz w:val="32"/>
          <w:szCs w:val="32"/>
          <w:lang w:val="en-US" w:eastAsia="zh-CN" w:bidi="ar-SA"/>
        </w:rPr>
      </w:pPr>
    </w:p>
    <w:p>
      <w:pPr>
        <w:pStyle w:val="4"/>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outlineLvl w:val="9"/>
        <w:rPr>
          <w:rFonts w:hint="default" w:ascii="Times New Roman" w:hAnsi="Times New Roman" w:eastAsia="仿宋_GB2312" w:cs="Times New Roman"/>
          <w:color w:val="000000"/>
          <w:sz w:val="32"/>
          <w:szCs w:val="32"/>
          <w:lang w:val="en-US" w:eastAsia="zh-CN" w:bidi="ar-SA"/>
        </w:rPr>
      </w:pPr>
      <w:r>
        <w:rPr>
          <w:rFonts w:hint="default" w:ascii="Times New Roman" w:hAnsi="Times New Roman" w:eastAsia="仿宋_GB2312" w:cs="Times New Roman"/>
          <w:color w:val="000000"/>
          <w:sz w:val="32"/>
          <w:szCs w:val="32"/>
          <w:lang w:val="en-US" w:eastAsia="zh-CN" w:bidi="ar-SA"/>
        </w:rPr>
        <w:t>联系电话：</w:t>
      </w:r>
      <w:r>
        <w:rPr>
          <w:rFonts w:hint="eastAsia" w:ascii="Times New Roman" w:hAnsi="Times New Roman" w:eastAsia="仿宋_GB2312" w:cs="Times New Roman"/>
          <w:color w:val="000000"/>
          <w:sz w:val="32"/>
          <w:szCs w:val="32"/>
          <w:lang w:val="en-US" w:eastAsia="zh-CN" w:bidi="ar-SA"/>
        </w:rPr>
        <w:t>0903</w:t>
      </w:r>
      <w:r>
        <w:rPr>
          <w:rFonts w:hint="default" w:ascii="Times New Roman" w:hAnsi="Times New Roman" w:eastAsia="仿宋_GB2312" w:cs="Times New Roman"/>
          <w:color w:val="000000"/>
          <w:sz w:val="32"/>
          <w:szCs w:val="32"/>
          <w:lang w:val="en-US" w:eastAsia="zh-CN" w:bidi="ar-SA"/>
        </w:rPr>
        <w:t>-</w:t>
      </w:r>
      <w:r>
        <w:rPr>
          <w:rFonts w:hint="eastAsia" w:ascii="Times New Roman" w:hAnsi="Times New Roman" w:eastAsia="仿宋_GB2312" w:cs="Times New Roman"/>
          <w:color w:val="000000"/>
          <w:sz w:val="32"/>
          <w:szCs w:val="32"/>
          <w:lang w:val="en-US" w:eastAsia="zh-CN" w:bidi="ar-SA"/>
        </w:rPr>
        <w:t>2566059</w:t>
      </w:r>
      <w:r>
        <w:rPr>
          <w:rFonts w:hint="default" w:ascii="Times New Roman" w:hAnsi="Times New Roman" w:eastAsia="仿宋_GB2312" w:cs="Times New Roman"/>
          <w:color w:val="000000"/>
          <w:sz w:val="32"/>
          <w:szCs w:val="32"/>
          <w:lang w:val="en-US" w:eastAsia="zh-CN" w:bidi="ar-SA"/>
        </w:rPr>
        <w:t xml:space="preserve"> </w:t>
      </w:r>
    </w:p>
    <w:p>
      <w:pPr>
        <w:pStyle w:val="4"/>
        <w:keepNext w:val="0"/>
        <w:keepLines w:val="0"/>
        <w:pageBreakBefore w:val="0"/>
        <w:widowControl/>
        <w:kinsoku/>
        <w:wordWrap/>
        <w:overflowPunct/>
        <w:topLinePunct w:val="0"/>
        <w:autoSpaceDE/>
        <w:autoSpaceDN/>
        <w:bidi w:val="0"/>
        <w:adjustRightInd w:val="0"/>
        <w:snapToGrid w:val="0"/>
        <w:spacing w:after="0" w:line="560" w:lineRule="exact"/>
        <w:ind w:left="1598" w:leftChars="290" w:hanging="960" w:hangingChars="300"/>
        <w:jc w:val="both"/>
        <w:textAlignment w:val="auto"/>
        <w:outlineLvl w:val="9"/>
        <w:rPr>
          <w:rFonts w:hint="default" w:ascii="Times New Roman" w:hAnsi="Times New Roman" w:eastAsia="仿宋_GB2312" w:cs="Times New Roman"/>
          <w:color w:val="000000"/>
          <w:sz w:val="32"/>
          <w:szCs w:val="32"/>
          <w:lang w:val="en-US" w:eastAsia="zh-CN" w:bidi="ar-SA"/>
        </w:rPr>
      </w:pPr>
      <w:r>
        <w:rPr>
          <w:rFonts w:hint="default" w:ascii="Times New Roman" w:hAnsi="Times New Roman" w:eastAsia="仿宋_GB2312" w:cs="Times New Roman"/>
          <w:color w:val="000000"/>
          <w:sz w:val="32"/>
          <w:szCs w:val="32"/>
          <w:lang w:val="en-US" w:eastAsia="zh-CN" w:bidi="ar-SA"/>
        </w:rPr>
        <w:t>附件：202</w:t>
      </w:r>
      <w:r>
        <w:rPr>
          <w:rFonts w:hint="eastAsia" w:ascii="Times New Roman" w:hAnsi="Times New Roman" w:eastAsia="仿宋_GB2312" w:cs="Times New Roman"/>
          <w:color w:val="000000"/>
          <w:sz w:val="32"/>
          <w:szCs w:val="32"/>
          <w:lang w:val="en-US" w:eastAsia="zh-CN" w:bidi="ar-SA"/>
        </w:rPr>
        <w:t>3</w:t>
      </w:r>
      <w:r>
        <w:rPr>
          <w:rFonts w:hint="default" w:ascii="Times New Roman" w:hAnsi="Times New Roman" w:eastAsia="仿宋_GB2312" w:cs="Times New Roman"/>
          <w:color w:val="000000"/>
          <w:sz w:val="32"/>
          <w:szCs w:val="32"/>
          <w:lang w:val="en-US" w:eastAsia="zh-CN" w:bidi="ar-SA"/>
        </w:rPr>
        <w:t>年第</w:t>
      </w:r>
      <w:r>
        <w:rPr>
          <w:rFonts w:hint="eastAsia" w:ascii="Times New Roman" w:hAnsi="Times New Roman" w:eastAsia="仿宋_GB2312" w:cs="Times New Roman"/>
          <w:color w:val="000000"/>
          <w:sz w:val="32"/>
          <w:szCs w:val="32"/>
          <w:lang w:val="en-US" w:eastAsia="zh-CN" w:bidi="ar-SA"/>
        </w:rPr>
        <w:t>二</w:t>
      </w:r>
      <w:r>
        <w:rPr>
          <w:rFonts w:hint="default" w:ascii="Times New Roman" w:hAnsi="Times New Roman" w:eastAsia="仿宋_GB2312" w:cs="Times New Roman"/>
          <w:color w:val="000000"/>
          <w:sz w:val="32"/>
          <w:szCs w:val="32"/>
          <w:lang w:val="en-US" w:eastAsia="zh-CN" w:bidi="ar-SA"/>
        </w:rPr>
        <w:t>批享受失业保险稳岗返还</w:t>
      </w:r>
      <w:r>
        <w:rPr>
          <w:rFonts w:hint="eastAsia" w:ascii="Times New Roman" w:hAnsi="Times New Roman" w:eastAsia="仿宋_GB2312" w:cs="Times New Roman"/>
          <w:color w:val="000000"/>
          <w:sz w:val="32"/>
          <w:szCs w:val="32"/>
          <w:lang w:val="en-US" w:eastAsia="zh-CN" w:bidi="ar-SA"/>
        </w:rPr>
        <w:t>公示</w:t>
      </w:r>
      <w:r>
        <w:rPr>
          <w:rFonts w:hint="default" w:ascii="Times New Roman" w:hAnsi="Times New Roman" w:eastAsia="仿宋_GB2312" w:cs="Times New Roman"/>
          <w:color w:val="000000"/>
          <w:sz w:val="32"/>
          <w:szCs w:val="32"/>
          <w:lang w:val="en-US" w:eastAsia="zh-CN" w:bidi="ar-SA"/>
        </w:rPr>
        <w:t>名单</w:t>
      </w:r>
    </w:p>
    <w:p>
      <w:pPr>
        <w:pStyle w:val="4"/>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outlineLvl w:val="9"/>
        <w:rPr>
          <w:rFonts w:hint="default" w:ascii="Times New Roman" w:hAnsi="Times New Roman" w:eastAsia="仿宋_GB2312" w:cs="Times New Roman"/>
          <w:color w:val="000000"/>
          <w:sz w:val="32"/>
          <w:szCs w:val="32"/>
          <w:lang w:val="en-US" w:eastAsia="zh-CN" w:bidi="ar-SA"/>
        </w:rPr>
      </w:pPr>
    </w:p>
    <w:p>
      <w:pPr>
        <w:pStyle w:val="4"/>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outlineLvl w:val="9"/>
        <w:rPr>
          <w:rFonts w:hint="default" w:ascii="Times New Roman" w:hAnsi="Times New Roman" w:eastAsia="仿宋_GB2312" w:cs="Times New Roman"/>
          <w:color w:val="000000"/>
          <w:sz w:val="32"/>
          <w:szCs w:val="32"/>
          <w:lang w:val="en-US" w:eastAsia="zh-CN" w:bidi="ar-SA"/>
        </w:rPr>
      </w:pPr>
    </w:p>
    <w:p>
      <w:pPr>
        <w:pStyle w:val="4"/>
        <w:keepNext w:val="0"/>
        <w:keepLines w:val="0"/>
        <w:pageBreakBefore w:val="0"/>
        <w:widowControl/>
        <w:tabs>
          <w:tab w:val="left" w:pos="4149"/>
        </w:tabs>
        <w:kinsoku/>
        <w:wordWrap/>
        <w:overflowPunct/>
        <w:topLinePunct w:val="0"/>
        <w:autoSpaceDE/>
        <w:autoSpaceDN/>
        <w:bidi w:val="0"/>
        <w:adjustRightInd w:val="0"/>
        <w:snapToGrid w:val="0"/>
        <w:spacing w:after="0" w:line="560" w:lineRule="exact"/>
        <w:ind w:firstLine="2880" w:firstLineChars="900"/>
        <w:jc w:val="both"/>
        <w:textAlignment w:val="auto"/>
        <w:outlineLvl w:val="9"/>
        <w:rPr>
          <w:rFonts w:hint="default" w:ascii="Times New Roman" w:hAnsi="Times New Roman" w:eastAsia="仿宋_GB2312" w:cs="Times New Roman"/>
          <w:color w:val="000000"/>
          <w:sz w:val="32"/>
          <w:szCs w:val="32"/>
          <w:lang w:val="en-US" w:eastAsia="zh-CN" w:bidi="ar-SA"/>
        </w:rPr>
      </w:pPr>
      <w:r>
        <w:rPr>
          <w:rFonts w:hint="eastAsia" w:ascii="Times New Roman" w:hAnsi="Times New Roman" w:eastAsia="仿宋_GB2312" w:cs="Times New Roman"/>
          <w:color w:val="000000"/>
          <w:sz w:val="32"/>
          <w:szCs w:val="32"/>
          <w:lang w:val="en-US" w:eastAsia="zh-CN" w:bidi="ar-SA"/>
        </w:rPr>
        <w:t>第十四师昆玉市</w:t>
      </w:r>
      <w:r>
        <w:rPr>
          <w:rFonts w:hint="default" w:ascii="Times New Roman" w:hAnsi="Times New Roman" w:eastAsia="仿宋_GB2312" w:cs="Times New Roman"/>
          <w:color w:val="000000"/>
          <w:sz w:val="32"/>
          <w:szCs w:val="32"/>
          <w:lang w:val="en-US" w:eastAsia="zh-CN" w:bidi="ar-SA"/>
        </w:rPr>
        <w:t>人力资源和社会保障局</w:t>
      </w:r>
    </w:p>
    <w:p>
      <w:pPr>
        <w:pStyle w:val="4"/>
        <w:keepNext w:val="0"/>
        <w:keepLines w:val="0"/>
        <w:pageBreakBefore w:val="0"/>
        <w:widowControl/>
        <w:kinsoku/>
        <w:wordWrap/>
        <w:overflowPunct/>
        <w:topLinePunct w:val="0"/>
        <w:autoSpaceDE/>
        <w:autoSpaceDN/>
        <w:bidi w:val="0"/>
        <w:adjustRightInd w:val="0"/>
        <w:snapToGrid w:val="0"/>
        <w:spacing w:after="0" w:line="560" w:lineRule="exact"/>
        <w:ind w:firstLine="4480" w:firstLineChars="1400"/>
        <w:jc w:val="both"/>
        <w:textAlignment w:val="auto"/>
        <w:outlineLvl w:val="9"/>
        <w:rPr>
          <w:rFonts w:hint="default" w:ascii="Times New Roman" w:hAnsi="Times New Roman" w:eastAsia="方正小标宋简体" w:cs="Times New Roman"/>
          <w:color w:val="000000"/>
          <w:sz w:val="36"/>
          <w:szCs w:val="36"/>
          <w:lang w:val="en-US" w:eastAsia="zh-CN" w:bidi="ar-SA"/>
        </w:rPr>
        <w:sectPr>
          <w:footerReference r:id="rId5" w:type="first"/>
          <w:footerReference r:id="rId3" w:type="default"/>
          <w:footerReference r:id="rId4" w:type="even"/>
          <w:pgSz w:w="11906" w:h="16838"/>
          <w:pgMar w:top="1440" w:right="1418" w:bottom="1440" w:left="1474" w:header="709" w:footer="709" w:gutter="0"/>
          <w:pgBorders w:offsetFrom="page">
            <w:top w:val="none" w:sz="0" w:space="0"/>
            <w:left w:val="none" w:sz="0" w:space="0"/>
            <w:bottom w:val="none" w:sz="0" w:space="0"/>
            <w:right w:val="none" w:sz="0" w:space="0"/>
          </w:pgBorders>
          <w:pgNumType w:fmt="numberInDash" w:start="2"/>
          <w:cols w:space="720" w:num="1"/>
          <w:docGrid w:linePitch="360" w:charSpace="0"/>
        </w:sectPr>
      </w:pPr>
      <w:r>
        <w:rPr>
          <w:rFonts w:hint="default" w:ascii="Times New Roman" w:hAnsi="Times New Roman" w:eastAsia="仿宋_GB2312" w:cs="Times New Roman"/>
          <w:color w:val="000000"/>
          <w:sz w:val="32"/>
          <w:szCs w:val="32"/>
          <w:lang w:val="en-US" w:eastAsia="zh-CN" w:bidi="ar-SA"/>
        </w:rPr>
        <w:t>202</w:t>
      </w:r>
      <w:r>
        <w:rPr>
          <w:rFonts w:hint="eastAsia" w:ascii="Times New Roman" w:hAnsi="Times New Roman" w:eastAsia="仿宋_GB2312" w:cs="Times New Roman"/>
          <w:color w:val="000000"/>
          <w:sz w:val="32"/>
          <w:szCs w:val="32"/>
          <w:lang w:val="en-US" w:eastAsia="zh-CN" w:bidi="ar-SA"/>
        </w:rPr>
        <w:t>3</w:t>
      </w:r>
      <w:r>
        <w:rPr>
          <w:rFonts w:hint="default" w:ascii="Times New Roman" w:hAnsi="Times New Roman" w:eastAsia="仿宋_GB2312" w:cs="Times New Roman"/>
          <w:color w:val="000000"/>
          <w:sz w:val="32"/>
          <w:szCs w:val="32"/>
          <w:lang w:val="en-US" w:eastAsia="zh-CN" w:bidi="ar-SA"/>
        </w:rPr>
        <w:t>年</w:t>
      </w:r>
      <w:r>
        <w:rPr>
          <w:rFonts w:hint="eastAsia" w:ascii="Times New Roman" w:hAnsi="Times New Roman" w:eastAsia="仿宋_GB2312" w:cs="Times New Roman"/>
          <w:color w:val="000000"/>
          <w:sz w:val="32"/>
          <w:szCs w:val="32"/>
          <w:lang w:val="en-US" w:eastAsia="zh-CN" w:bidi="ar-SA"/>
        </w:rPr>
        <w:t>11</w:t>
      </w:r>
      <w:r>
        <w:rPr>
          <w:rFonts w:hint="default" w:ascii="Times New Roman" w:hAnsi="Times New Roman" w:eastAsia="仿宋_GB2312" w:cs="Times New Roman"/>
          <w:color w:val="000000"/>
          <w:sz w:val="32"/>
          <w:szCs w:val="32"/>
          <w:lang w:val="en-US" w:eastAsia="zh-CN" w:bidi="ar-SA"/>
        </w:rPr>
        <w:t>月</w:t>
      </w:r>
      <w:r>
        <w:rPr>
          <w:rFonts w:hint="eastAsia" w:ascii="Times New Roman" w:hAnsi="Times New Roman" w:eastAsia="仿宋_GB2312" w:cs="Times New Roman"/>
          <w:color w:val="000000"/>
          <w:sz w:val="32"/>
          <w:szCs w:val="32"/>
          <w:lang w:val="en-US" w:eastAsia="zh-CN" w:bidi="ar-SA"/>
        </w:rPr>
        <w:t>16</w:t>
      </w:r>
      <w:r>
        <w:rPr>
          <w:rFonts w:hint="default" w:ascii="Times New Roman" w:hAnsi="Times New Roman" w:eastAsia="仿宋_GB2312" w:cs="Times New Roman"/>
          <w:color w:val="000000"/>
          <w:sz w:val="32"/>
          <w:szCs w:val="32"/>
          <w:lang w:val="en-US" w:eastAsia="zh-CN" w:bidi="ar-SA"/>
        </w:rPr>
        <w:t>日</w:t>
      </w:r>
    </w:p>
    <w:tbl>
      <w:tblPr>
        <w:tblStyle w:val="5"/>
        <w:tblW w:w="9720" w:type="dxa"/>
        <w:tblInd w:w="-486" w:type="dxa"/>
        <w:shd w:val="clear" w:color="auto" w:fill="auto"/>
        <w:tblLayout w:type="fixed"/>
        <w:tblCellMar>
          <w:top w:w="0" w:type="dxa"/>
          <w:left w:w="0" w:type="dxa"/>
          <w:bottom w:w="0" w:type="dxa"/>
          <w:right w:w="0" w:type="dxa"/>
        </w:tblCellMar>
      </w:tblPr>
      <w:tblGrid>
        <w:gridCol w:w="465"/>
        <w:gridCol w:w="1270"/>
        <w:gridCol w:w="6424"/>
        <w:gridCol w:w="1561"/>
      </w:tblGrid>
      <w:tr>
        <w:tblPrEx>
          <w:shd w:val="clear" w:color="auto" w:fill="auto"/>
          <w:tblLayout w:type="fixed"/>
          <w:tblCellMar>
            <w:top w:w="0" w:type="dxa"/>
            <w:left w:w="0" w:type="dxa"/>
            <w:bottom w:w="0" w:type="dxa"/>
            <w:right w:w="0" w:type="dxa"/>
          </w:tblCellMar>
        </w:tblPrEx>
        <w:trPr>
          <w:trHeight w:val="567" w:hRule="atLeast"/>
        </w:trPr>
        <w:tc>
          <w:tcPr>
            <w:tcW w:w="9720" w:type="dxa"/>
            <w:gridSpan w:val="4"/>
            <w:tcBorders>
              <w:top w:val="nil"/>
              <w:left w:val="nil"/>
              <w:bottom w:val="nil"/>
              <w:right w:val="nil"/>
            </w:tcBorders>
            <w:shd w:val="clear" w:color="auto" w:fill="FFFFFF"/>
            <w:noWrap/>
            <w:tcMar>
              <w:top w:w="15" w:type="dxa"/>
              <w:left w:w="15" w:type="dxa"/>
              <w:right w:w="15"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700" w:lineRule="exact"/>
              <w:ind w:right="0"/>
              <w:jc w:val="both"/>
              <w:rPr>
                <w:rFonts w:hint="eastAsia" w:ascii="黑体" w:hAnsi="黑体" w:eastAsia="黑体" w:cs="黑体"/>
                <w:i w:val="0"/>
                <w:iCs w:val="0"/>
                <w:caps w:val="0"/>
                <w:color w:val="000000"/>
                <w:spacing w:val="0"/>
                <w:kern w:val="0"/>
                <w:sz w:val="32"/>
                <w:szCs w:val="32"/>
                <w:shd w:val="clear" w:color="auto" w:fill="FFFFFF"/>
                <w:lang w:val="en-US" w:eastAsia="zh-CN" w:bidi="ar"/>
              </w:rPr>
            </w:pPr>
            <w:r>
              <w:rPr>
                <w:rFonts w:hint="eastAsia" w:ascii="黑体" w:hAnsi="黑体" w:eastAsia="黑体" w:cs="黑体"/>
                <w:i w:val="0"/>
                <w:iCs w:val="0"/>
                <w:caps w:val="0"/>
                <w:color w:val="000000"/>
                <w:spacing w:val="0"/>
                <w:kern w:val="0"/>
                <w:sz w:val="32"/>
                <w:szCs w:val="32"/>
                <w:shd w:val="clear" w:color="auto" w:fill="FFFFFF"/>
                <w:lang w:val="en-US" w:eastAsia="zh-CN" w:bidi="ar"/>
              </w:rPr>
              <w:t>附件</w:t>
            </w:r>
          </w:p>
          <w:p>
            <w:pPr>
              <w:jc w:val="center"/>
              <w:rPr>
                <w:rFonts w:hint="eastAsia" w:ascii="宋体" w:hAnsi="宋体" w:eastAsia="宋体" w:cs="宋体"/>
                <w:i w:val="0"/>
                <w:color w:val="000000"/>
                <w:sz w:val="22"/>
                <w:szCs w:val="22"/>
                <w:u w:val="none"/>
              </w:rPr>
            </w:pPr>
          </w:p>
        </w:tc>
      </w:tr>
      <w:tr>
        <w:tblPrEx>
          <w:tblLayout w:type="fixed"/>
          <w:tblCellMar>
            <w:top w:w="0" w:type="dxa"/>
            <w:left w:w="0" w:type="dxa"/>
            <w:bottom w:w="0" w:type="dxa"/>
            <w:right w:w="0" w:type="dxa"/>
          </w:tblCellMar>
        </w:tblPrEx>
        <w:trPr>
          <w:trHeight w:val="567" w:hRule="atLeast"/>
        </w:trPr>
        <w:tc>
          <w:tcPr>
            <w:tcW w:w="9720" w:type="dxa"/>
            <w:gridSpan w:val="4"/>
            <w:tcBorders>
              <w:top w:val="nil"/>
              <w:left w:val="nil"/>
              <w:bottom w:val="nil"/>
              <w:right w:val="nil"/>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default" w:ascii="Times New Roman" w:hAnsi="Times New Roman" w:eastAsia="方正小标宋_GBK" w:cs="Times New Roman"/>
                <w:i w:val="0"/>
                <w:iCs w:val="0"/>
                <w:caps w:val="0"/>
                <w:color w:val="000000"/>
                <w:spacing w:val="0"/>
                <w:kern w:val="0"/>
                <w:sz w:val="36"/>
                <w:szCs w:val="36"/>
                <w:shd w:val="clear" w:color="auto" w:fill="FFFFFF"/>
                <w:lang w:val="en-US" w:eastAsia="zh-CN" w:bidi="ar"/>
              </w:rPr>
              <w:t>202</w:t>
            </w:r>
            <w:r>
              <w:rPr>
                <w:rFonts w:hint="eastAsia" w:ascii="Times New Roman" w:hAnsi="Times New Roman" w:eastAsia="方正小标宋_GBK" w:cs="Times New Roman"/>
                <w:i w:val="0"/>
                <w:iCs w:val="0"/>
                <w:caps w:val="0"/>
                <w:color w:val="000000"/>
                <w:spacing w:val="0"/>
                <w:kern w:val="0"/>
                <w:sz w:val="36"/>
                <w:szCs w:val="36"/>
                <w:shd w:val="clear" w:color="auto" w:fill="FFFFFF"/>
                <w:lang w:val="en-US" w:eastAsia="zh-CN" w:bidi="ar"/>
              </w:rPr>
              <w:t>3</w:t>
            </w:r>
            <w:r>
              <w:rPr>
                <w:rFonts w:hint="default" w:ascii="Times New Roman" w:hAnsi="Times New Roman" w:eastAsia="方正小标宋_GBK" w:cs="Times New Roman"/>
                <w:i w:val="0"/>
                <w:iCs w:val="0"/>
                <w:caps w:val="0"/>
                <w:color w:val="000000"/>
                <w:spacing w:val="0"/>
                <w:kern w:val="0"/>
                <w:sz w:val="36"/>
                <w:szCs w:val="36"/>
                <w:shd w:val="clear" w:color="auto" w:fill="FFFFFF"/>
                <w:lang w:val="en-US" w:eastAsia="zh-CN" w:bidi="ar"/>
              </w:rPr>
              <w:t>年第</w:t>
            </w:r>
            <w:r>
              <w:rPr>
                <w:rFonts w:hint="eastAsia" w:ascii="Times New Roman" w:hAnsi="Times New Roman" w:eastAsia="方正小标宋_GBK" w:cs="Times New Roman"/>
                <w:i w:val="0"/>
                <w:iCs w:val="0"/>
                <w:caps w:val="0"/>
                <w:color w:val="000000"/>
                <w:spacing w:val="0"/>
                <w:kern w:val="0"/>
                <w:sz w:val="36"/>
                <w:szCs w:val="36"/>
                <w:shd w:val="clear" w:color="auto" w:fill="FFFFFF"/>
                <w:lang w:val="en-US" w:eastAsia="zh-CN" w:bidi="ar"/>
              </w:rPr>
              <w:t>二</w:t>
            </w:r>
            <w:r>
              <w:rPr>
                <w:rFonts w:hint="default" w:ascii="Times New Roman" w:hAnsi="Times New Roman" w:eastAsia="方正小标宋_GBK" w:cs="Times New Roman"/>
                <w:i w:val="0"/>
                <w:iCs w:val="0"/>
                <w:caps w:val="0"/>
                <w:color w:val="000000"/>
                <w:spacing w:val="0"/>
                <w:kern w:val="0"/>
                <w:sz w:val="36"/>
                <w:szCs w:val="36"/>
                <w:shd w:val="clear" w:color="auto" w:fill="FFFFFF"/>
                <w:lang w:val="en-US" w:eastAsia="zh-CN" w:bidi="ar"/>
              </w:rPr>
              <w:t>批享受失业保险稳岗返还</w:t>
            </w:r>
            <w:r>
              <w:rPr>
                <w:rFonts w:hint="eastAsia" w:ascii="Times New Roman" w:hAnsi="Times New Roman" w:eastAsia="方正小标宋_GBK" w:cs="Times New Roman"/>
                <w:i w:val="0"/>
                <w:iCs w:val="0"/>
                <w:caps w:val="0"/>
                <w:color w:val="000000"/>
                <w:spacing w:val="0"/>
                <w:kern w:val="0"/>
                <w:sz w:val="36"/>
                <w:szCs w:val="36"/>
                <w:shd w:val="clear" w:color="auto" w:fill="FFFFFF"/>
                <w:lang w:val="en-US" w:eastAsia="zh-CN" w:bidi="ar"/>
              </w:rPr>
              <w:t>公示名单</w:t>
            </w:r>
          </w:p>
        </w:tc>
      </w:tr>
      <w:tr>
        <w:tblPrEx>
          <w:tblLayout w:type="fixed"/>
          <w:tblCellMar>
            <w:top w:w="0" w:type="dxa"/>
            <w:left w:w="0" w:type="dxa"/>
            <w:bottom w:w="0" w:type="dxa"/>
            <w:right w:w="0" w:type="dxa"/>
          </w:tblCellMar>
        </w:tblPrEx>
        <w:trPr>
          <w:trHeight w:val="567" w:hRule="atLeast"/>
        </w:trPr>
        <w:tc>
          <w:tcPr>
            <w:tcW w:w="9720" w:type="dxa"/>
            <w:gridSpan w:val="4"/>
            <w:tcBorders>
              <w:top w:val="nil"/>
              <w:left w:val="nil"/>
              <w:bottom w:val="nil"/>
              <w:right w:val="nil"/>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p>
        </w:tc>
      </w:tr>
      <w:tr>
        <w:tblPrEx>
          <w:tblLayout w:type="fixed"/>
          <w:tblCellMar>
            <w:top w:w="0" w:type="dxa"/>
            <w:left w:w="0" w:type="dxa"/>
            <w:bottom w:w="0" w:type="dxa"/>
            <w:right w:w="0" w:type="dxa"/>
          </w:tblCellMar>
        </w:tblPrEx>
        <w:trPr>
          <w:trHeight w:val="567" w:hRule="atLeast"/>
        </w:trPr>
        <w:tc>
          <w:tcPr>
            <w:tcW w:w="46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序号</w:t>
            </w:r>
          </w:p>
        </w:tc>
        <w:tc>
          <w:tcPr>
            <w:tcW w:w="12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单位社保编号</w:t>
            </w:r>
          </w:p>
        </w:tc>
        <w:tc>
          <w:tcPr>
            <w:tcW w:w="642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单位名称</w:t>
            </w:r>
          </w:p>
        </w:tc>
        <w:tc>
          <w:tcPr>
            <w:tcW w:w="156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拟返还金额（元）</w:t>
            </w:r>
          </w:p>
        </w:tc>
      </w:tr>
      <w:tr>
        <w:tblPrEx>
          <w:tblLayout w:type="fixed"/>
          <w:tblCellMar>
            <w:top w:w="0" w:type="dxa"/>
            <w:left w:w="0" w:type="dxa"/>
            <w:bottom w:w="0" w:type="dxa"/>
            <w:right w:w="0" w:type="dxa"/>
          </w:tblCellMar>
        </w:tblPrEx>
        <w:trPr>
          <w:trHeight w:val="567" w:hRule="atLeast"/>
        </w:trPr>
        <w:tc>
          <w:tcPr>
            <w:tcW w:w="46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12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default" w:ascii="宋体" w:hAnsi="宋体" w:eastAsia="宋体" w:cs="宋体"/>
                <w:i w:val="0"/>
                <w:color w:val="000000"/>
                <w:kern w:val="0"/>
                <w:sz w:val="22"/>
                <w:szCs w:val="22"/>
                <w:u w:val="none"/>
                <w:lang w:val="en-US" w:eastAsia="zh-CN" w:bidi="ar"/>
              </w:rPr>
              <w:t>6608209252</w:t>
            </w:r>
          </w:p>
        </w:tc>
        <w:tc>
          <w:tcPr>
            <w:tcW w:w="642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default" w:ascii="宋体" w:hAnsi="宋体" w:eastAsia="宋体" w:cs="宋体"/>
                <w:i w:val="0"/>
                <w:color w:val="000000"/>
                <w:kern w:val="0"/>
                <w:sz w:val="22"/>
                <w:szCs w:val="22"/>
                <w:u w:val="none"/>
                <w:lang w:val="en-US" w:eastAsia="zh-CN" w:bidi="ar"/>
              </w:rPr>
              <w:t>昆玉市全城搜索驾驶员培训有限公司</w:t>
            </w:r>
          </w:p>
        </w:tc>
        <w:tc>
          <w:tcPr>
            <w:tcW w:w="156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561.52</w:t>
            </w:r>
          </w:p>
        </w:tc>
      </w:tr>
      <w:tr>
        <w:tblPrEx>
          <w:shd w:val="clear" w:color="auto" w:fill="auto"/>
          <w:tblLayout w:type="fixed"/>
          <w:tblCellMar>
            <w:top w:w="0" w:type="dxa"/>
            <w:left w:w="0" w:type="dxa"/>
            <w:bottom w:w="0" w:type="dxa"/>
            <w:right w:w="0" w:type="dxa"/>
          </w:tblCellMar>
        </w:tblPrEx>
        <w:trPr>
          <w:trHeight w:val="567" w:hRule="atLeast"/>
        </w:trPr>
        <w:tc>
          <w:tcPr>
            <w:tcW w:w="46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12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default" w:ascii="宋体" w:hAnsi="宋体" w:eastAsia="宋体" w:cs="宋体"/>
                <w:i w:val="0"/>
                <w:color w:val="000000"/>
                <w:kern w:val="0"/>
                <w:sz w:val="22"/>
                <w:szCs w:val="22"/>
                <w:u w:val="none"/>
                <w:lang w:val="en-US" w:eastAsia="zh-CN" w:bidi="ar"/>
              </w:rPr>
              <w:t>6614193187</w:t>
            </w:r>
          </w:p>
        </w:tc>
        <w:tc>
          <w:tcPr>
            <w:tcW w:w="642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default" w:ascii="宋体" w:hAnsi="宋体" w:eastAsia="宋体" w:cs="宋体"/>
                <w:i w:val="0"/>
                <w:color w:val="000000"/>
                <w:kern w:val="0"/>
                <w:sz w:val="22"/>
                <w:szCs w:val="22"/>
                <w:u w:val="none"/>
                <w:lang w:val="en-US" w:eastAsia="zh-CN" w:bidi="ar"/>
              </w:rPr>
              <w:t>昆玉市鹏康广告有限公司</w:t>
            </w:r>
          </w:p>
        </w:tc>
        <w:tc>
          <w:tcPr>
            <w:tcW w:w="156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612.58</w:t>
            </w:r>
          </w:p>
        </w:tc>
      </w:tr>
      <w:tr>
        <w:tblPrEx>
          <w:tblLayout w:type="fixed"/>
          <w:tblCellMar>
            <w:top w:w="0" w:type="dxa"/>
            <w:left w:w="0" w:type="dxa"/>
            <w:bottom w:w="0" w:type="dxa"/>
            <w:right w:w="0" w:type="dxa"/>
          </w:tblCellMar>
        </w:tblPrEx>
        <w:trPr>
          <w:trHeight w:val="567" w:hRule="atLeast"/>
        </w:trPr>
        <w:tc>
          <w:tcPr>
            <w:tcW w:w="46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12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default" w:ascii="宋体" w:hAnsi="宋体" w:eastAsia="宋体" w:cs="宋体"/>
                <w:i w:val="0"/>
                <w:color w:val="000000"/>
                <w:kern w:val="0"/>
                <w:sz w:val="22"/>
                <w:szCs w:val="22"/>
                <w:u w:val="none"/>
                <w:lang w:val="en-US" w:eastAsia="zh-CN" w:bidi="ar"/>
              </w:rPr>
              <w:t>6614211459</w:t>
            </w:r>
          </w:p>
        </w:tc>
        <w:tc>
          <w:tcPr>
            <w:tcW w:w="642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default" w:ascii="宋体" w:hAnsi="宋体" w:eastAsia="宋体" w:cs="宋体"/>
                <w:i w:val="0"/>
                <w:color w:val="000000"/>
                <w:kern w:val="0"/>
                <w:sz w:val="22"/>
                <w:szCs w:val="22"/>
                <w:u w:val="none"/>
                <w:lang w:val="en-US" w:eastAsia="zh-CN" w:bidi="ar"/>
              </w:rPr>
              <w:t>昆玉市鸿鸣昌达置业有限公司</w:t>
            </w:r>
          </w:p>
        </w:tc>
        <w:tc>
          <w:tcPr>
            <w:tcW w:w="156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bottom"/>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default" w:ascii="宋体" w:hAnsi="宋体" w:eastAsia="宋体" w:cs="宋体"/>
                <w:i w:val="0"/>
                <w:color w:val="000000"/>
                <w:kern w:val="0"/>
                <w:sz w:val="22"/>
                <w:szCs w:val="22"/>
                <w:u w:val="none"/>
                <w:lang w:val="en-US" w:eastAsia="zh-CN" w:bidi="ar"/>
              </w:rPr>
              <w:t>300</w:t>
            </w:r>
            <w:r>
              <w:rPr>
                <w:rFonts w:hint="eastAsia" w:ascii="宋体" w:hAnsi="宋体" w:cs="宋体"/>
                <w:i w:val="0"/>
                <w:color w:val="000000"/>
                <w:kern w:val="0"/>
                <w:sz w:val="22"/>
                <w:szCs w:val="22"/>
                <w:u w:val="none"/>
                <w:lang w:val="en-US" w:eastAsia="zh-CN" w:bidi="ar"/>
              </w:rPr>
              <w:t>.00</w:t>
            </w:r>
          </w:p>
        </w:tc>
      </w:tr>
      <w:tr>
        <w:tblPrEx>
          <w:tblLayout w:type="fixed"/>
          <w:tblCellMar>
            <w:top w:w="0" w:type="dxa"/>
            <w:left w:w="0" w:type="dxa"/>
            <w:bottom w:w="0" w:type="dxa"/>
            <w:right w:w="0" w:type="dxa"/>
          </w:tblCellMar>
        </w:tblPrEx>
        <w:trPr>
          <w:trHeight w:val="567" w:hRule="atLeast"/>
        </w:trPr>
        <w:tc>
          <w:tcPr>
            <w:tcW w:w="46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12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default" w:ascii="宋体" w:hAnsi="宋体" w:eastAsia="宋体" w:cs="宋体"/>
                <w:i w:val="0"/>
                <w:color w:val="000000"/>
                <w:kern w:val="0"/>
                <w:sz w:val="22"/>
                <w:szCs w:val="22"/>
                <w:u w:val="none"/>
                <w:lang w:val="en-US" w:eastAsia="zh-CN" w:bidi="ar"/>
              </w:rPr>
              <w:t>6614266920</w:t>
            </w:r>
          </w:p>
        </w:tc>
        <w:tc>
          <w:tcPr>
            <w:tcW w:w="642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default" w:ascii="宋体" w:hAnsi="宋体" w:eastAsia="宋体" w:cs="宋体"/>
                <w:i w:val="0"/>
                <w:color w:val="000000"/>
                <w:kern w:val="0"/>
                <w:sz w:val="22"/>
                <w:szCs w:val="22"/>
                <w:u w:val="none"/>
                <w:lang w:val="en-US" w:eastAsia="zh-CN" w:bidi="ar"/>
              </w:rPr>
              <w:t>新疆修真农业发展有限公司</w:t>
            </w:r>
          </w:p>
        </w:tc>
        <w:tc>
          <w:tcPr>
            <w:tcW w:w="156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default" w:ascii="宋体" w:hAnsi="宋体" w:eastAsia="宋体" w:cs="宋体"/>
                <w:i w:val="0"/>
                <w:color w:val="000000"/>
                <w:kern w:val="0"/>
                <w:sz w:val="22"/>
                <w:szCs w:val="22"/>
                <w:u w:val="none"/>
                <w:lang w:val="en-US" w:eastAsia="zh-CN" w:bidi="ar"/>
              </w:rPr>
              <w:t>712.76</w:t>
            </w:r>
          </w:p>
        </w:tc>
      </w:tr>
      <w:tr>
        <w:tblPrEx>
          <w:tblLayout w:type="fixed"/>
          <w:tblCellMar>
            <w:top w:w="0" w:type="dxa"/>
            <w:left w:w="0" w:type="dxa"/>
            <w:bottom w:w="0" w:type="dxa"/>
            <w:right w:w="0" w:type="dxa"/>
          </w:tblCellMar>
        </w:tblPrEx>
        <w:trPr>
          <w:trHeight w:val="567" w:hRule="atLeast"/>
        </w:trPr>
        <w:tc>
          <w:tcPr>
            <w:tcW w:w="46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12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default" w:ascii="宋体" w:hAnsi="宋体" w:eastAsia="宋体" w:cs="宋体"/>
                <w:i w:val="0"/>
                <w:color w:val="000000"/>
                <w:kern w:val="0"/>
                <w:sz w:val="22"/>
                <w:szCs w:val="22"/>
                <w:u w:val="none"/>
                <w:lang w:val="en-US" w:eastAsia="zh-CN" w:bidi="ar"/>
              </w:rPr>
              <w:t>6614268691</w:t>
            </w:r>
          </w:p>
        </w:tc>
        <w:tc>
          <w:tcPr>
            <w:tcW w:w="642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default" w:ascii="宋体" w:hAnsi="宋体" w:eastAsia="宋体" w:cs="宋体"/>
                <w:i w:val="0"/>
                <w:color w:val="000000"/>
                <w:kern w:val="0"/>
                <w:sz w:val="22"/>
                <w:szCs w:val="22"/>
                <w:u w:val="none"/>
                <w:lang w:val="en-US" w:eastAsia="zh-CN" w:bidi="ar"/>
              </w:rPr>
              <w:t>新疆煜源商贸有限责任公司</w:t>
            </w:r>
          </w:p>
        </w:tc>
        <w:tc>
          <w:tcPr>
            <w:tcW w:w="156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bottom"/>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default" w:ascii="宋体" w:hAnsi="宋体" w:eastAsia="宋体" w:cs="宋体"/>
                <w:i w:val="0"/>
                <w:color w:val="000000"/>
                <w:kern w:val="0"/>
                <w:sz w:val="22"/>
                <w:szCs w:val="22"/>
                <w:u w:val="none"/>
                <w:lang w:val="en-US" w:eastAsia="zh-CN" w:bidi="ar"/>
              </w:rPr>
              <w:t>300</w:t>
            </w:r>
            <w:r>
              <w:rPr>
                <w:rFonts w:hint="eastAsia" w:ascii="宋体" w:hAnsi="宋体" w:cs="宋体"/>
                <w:i w:val="0"/>
                <w:color w:val="000000"/>
                <w:kern w:val="0"/>
                <w:sz w:val="22"/>
                <w:szCs w:val="22"/>
                <w:u w:val="none"/>
                <w:lang w:val="en-US" w:eastAsia="zh-CN" w:bidi="ar"/>
              </w:rPr>
              <w:t>.00</w:t>
            </w:r>
          </w:p>
        </w:tc>
      </w:tr>
      <w:tr>
        <w:tblPrEx>
          <w:tblLayout w:type="fixed"/>
          <w:tblCellMar>
            <w:top w:w="0" w:type="dxa"/>
            <w:left w:w="0" w:type="dxa"/>
            <w:bottom w:w="0" w:type="dxa"/>
            <w:right w:w="0" w:type="dxa"/>
          </w:tblCellMar>
        </w:tblPrEx>
        <w:trPr>
          <w:trHeight w:val="567" w:hRule="atLeast"/>
        </w:trPr>
        <w:tc>
          <w:tcPr>
            <w:tcW w:w="46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c>
          <w:tcPr>
            <w:tcW w:w="12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default" w:ascii="宋体" w:hAnsi="宋体" w:eastAsia="宋体" w:cs="宋体"/>
                <w:i w:val="0"/>
                <w:color w:val="000000"/>
                <w:kern w:val="0"/>
                <w:sz w:val="22"/>
                <w:szCs w:val="22"/>
                <w:u w:val="none"/>
                <w:lang w:val="en-US" w:eastAsia="zh-CN" w:bidi="ar"/>
              </w:rPr>
              <w:t>6614265510</w:t>
            </w:r>
          </w:p>
        </w:tc>
        <w:tc>
          <w:tcPr>
            <w:tcW w:w="642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default" w:ascii="宋体" w:hAnsi="宋体" w:eastAsia="宋体" w:cs="宋体"/>
                <w:i w:val="0"/>
                <w:color w:val="000000"/>
                <w:kern w:val="0"/>
                <w:sz w:val="22"/>
                <w:szCs w:val="22"/>
                <w:u w:val="none"/>
                <w:lang w:val="en-US" w:eastAsia="zh-CN" w:bidi="ar"/>
              </w:rPr>
              <w:t>新疆东晟工程项目管理有限公司</w:t>
            </w:r>
          </w:p>
        </w:tc>
        <w:tc>
          <w:tcPr>
            <w:tcW w:w="156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842.27</w:t>
            </w:r>
          </w:p>
        </w:tc>
      </w:tr>
      <w:tr>
        <w:tblPrEx>
          <w:shd w:val="clear" w:color="auto" w:fill="auto"/>
          <w:tblLayout w:type="fixed"/>
          <w:tblCellMar>
            <w:top w:w="0" w:type="dxa"/>
            <w:left w:w="0" w:type="dxa"/>
            <w:bottom w:w="0" w:type="dxa"/>
            <w:right w:w="0" w:type="dxa"/>
          </w:tblCellMar>
        </w:tblPrEx>
        <w:trPr>
          <w:trHeight w:val="567" w:hRule="atLeast"/>
        </w:trPr>
        <w:tc>
          <w:tcPr>
            <w:tcW w:w="46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w:t>
            </w:r>
          </w:p>
        </w:tc>
        <w:tc>
          <w:tcPr>
            <w:tcW w:w="12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default" w:ascii="宋体" w:hAnsi="宋体" w:eastAsia="宋体" w:cs="宋体"/>
                <w:i w:val="0"/>
                <w:color w:val="000000"/>
                <w:kern w:val="0"/>
                <w:sz w:val="22"/>
                <w:szCs w:val="22"/>
                <w:u w:val="none"/>
                <w:lang w:val="en-US" w:eastAsia="zh-CN" w:bidi="ar"/>
              </w:rPr>
              <w:t>6614265450</w:t>
            </w:r>
          </w:p>
        </w:tc>
        <w:tc>
          <w:tcPr>
            <w:tcW w:w="642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新疆志诚卫士保安服务有限公司昆玉市分公司</w:t>
            </w:r>
          </w:p>
        </w:tc>
        <w:tc>
          <w:tcPr>
            <w:tcW w:w="156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default" w:ascii="宋体" w:hAnsi="宋体" w:eastAsia="宋体" w:cs="宋体"/>
                <w:i w:val="0"/>
                <w:color w:val="000000"/>
                <w:kern w:val="0"/>
                <w:sz w:val="22"/>
                <w:szCs w:val="22"/>
                <w:u w:val="none"/>
                <w:lang w:val="en-US" w:eastAsia="zh-CN" w:bidi="ar"/>
              </w:rPr>
              <w:t>1046.49</w:t>
            </w:r>
          </w:p>
        </w:tc>
      </w:tr>
    </w:tbl>
    <w:p/>
    <w:sectPr>
      <w:pgSz w:w="11906" w:h="16838"/>
      <w:pgMar w:top="2098" w:right="1474" w:bottom="1984" w:left="1587" w:header="851" w:footer="992" w:gutter="0"/>
      <w:pgBorders w:offsetFrom="page">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right"/>
      <w:rPr>
        <w:rFonts w:ascii="宋体" w:hAnsi="宋体" w:eastAsia="宋体"/>
        <w:sz w:val="32"/>
        <w:szCs w:val="32"/>
      </w:rPr>
    </w:pPr>
  </w:p>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32"/>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533400" cy="327660"/>
              <wp:effectExtent l="0" t="0" r="0" b="0"/>
              <wp:wrapNone/>
              <wp:docPr id="2" name="文本框 2"/>
              <wp:cNvGraphicFramePr/>
              <a:graphic xmlns:a="http://schemas.openxmlformats.org/drawingml/2006/main">
                <a:graphicData uri="http://schemas.microsoft.com/office/word/2010/wordprocessingShape">
                  <wps:wsp>
                    <wps:cNvSpPr txBox="1"/>
                    <wps:spPr>
                      <a:xfrm>
                        <a:off x="0" y="0"/>
                        <a:ext cx="533400" cy="327660"/>
                      </a:xfrm>
                      <a:prstGeom prst="rect">
                        <a:avLst/>
                      </a:prstGeom>
                      <a:noFill/>
                      <a:ln>
                        <a:noFill/>
                      </a:ln>
                    </wps:spPr>
                    <wps:txbx>
                      <w:txbxContent>
                        <w:p>
                          <w:pPr>
                            <w:pStyle w:val="3"/>
                            <w:jc w:val="right"/>
                          </w:pPr>
                          <w:r>
                            <w:fldChar w:fldCharType="begin"/>
                          </w:r>
                          <w:r>
                            <w:instrText xml:space="preserve"> PAGE  \* MERGEFORMAT </w:instrText>
                          </w:r>
                          <w:r>
                            <w:fldChar w:fldCharType="separate"/>
                          </w:r>
                          <w:r>
                            <w:t>- 2 -</w:t>
                          </w:r>
                          <w:r>
                            <w:fldChar w:fldCharType="end"/>
                          </w:r>
                        </w:p>
                      </w:txbxContent>
                    </wps:txbx>
                    <wps:bodyPr lIns="0" tIns="0" rIns="0" bIns="0" upright="0"/>
                  </wps:wsp>
                </a:graphicData>
              </a:graphic>
            </wp:anchor>
          </w:drawing>
        </mc:Choice>
        <mc:Fallback>
          <w:pict>
            <v:shape id="_x0000_s1026" o:spid="_x0000_s1026" o:spt="202" type="#_x0000_t202" style="position:absolute;left:0pt;margin-top:0pt;height:25.8pt;width:42pt;mso-position-horizontal:right;mso-position-horizontal-relative:margin;z-index:251658240;mso-width-relative:page;mso-height-relative:page;" filled="f" stroked="f" coordsize="21600,21600" o:gfxdata="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D0qYHr0wAAAAMBAAAPAAAAAAAAAAEAIAAA&#10;ACIAAABkcnMvZG93bnJldi54bWxQSwECFAAUAAAACACHTuJA2hP3T58BAAAjAwAADgAAAAAAAAAB&#10;ACAAAAAiAQAAZHJzL2Uyb0RvYy54bWxQSwUGAAAAAAYABgBZAQAAMwUAAAAA&#10;">
              <v:fill on="f" focussize="0,0"/>
              <v:stroke on="f"/>
              <v:imagedata o:title=""/>
              <o:lock v:ext="edit" aspectratio="f"/>
              <v:textbox inset="0mm,0mm,0mm,0mm">
                <w:txbxContent>
                  <w:p>
                    <w:pPr>
                      <w:pStyle w:val="3"/>
                      <w:jc w:val="right"/>
                    </w:pPr>
                    <w:r>
                      <w:fldChar w:fldCharType="begin"/>
                    </w:r>
                    <w:r>
                      <w:instrText xml:space="preserve"> PAGE  \* MERGEFORMAT </w:instrText>
                    </w:r>
                    <w:r>
                      <w:fldChar w:fldCharType="separate"/>
                    </w:r>
                    <w:r>
                      <w:t>- 2 -</w:t>
                    </w:r>
                    <w:r>
                      <w:fldChar w:fldCharType="end"/>
                    </w:r>
                  </w:p>
                </w:txbxContent>
              </v:textbox>
            </v:shape>
          </w:pict>
        </mc:Fallback>
      </mc:AlternateContent>
    </w:r>
    <w:r>
      <w:rPr>
        <w:sz w:val="32"/>
      </w:rPr>
      <mc:AlternateContent>
        <mc:Choice Requires="wps">
          <w:drawing>
            <wp:anchor distT="0" distB="0" distL="114300" distR="114300" simplePos="0" relativeHeight="251659264" behindDoc="0" locked="0" layoutInCell="1" allowOverlap="1">
              <wp:simplePos x="0" y="0"/>
              <wp:positionH relativeFrom="margin">
                <wp:posOffset>4742815</wp:posOffset>
              </wp:positionH>
              <wp:positionV relativeFrom="paragraph">
                <wp:posOffset>54610</wp:posOffset>
              </wp:positionV>
              <wp:extent cx="704215" cy="6597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04215" cy="659765"/>
                      </a:xfrm>
                      <a:prstGeom prst="rect">
                        <a:avLst/>
                      </a:prstGeom>
                      <a:noFill/>
                      <a:ln>
                        <a:noFill/>
                      </a:ln>
                    </wps:spPr>
                    <wps:txbx>
                      <w:txbxContent>
                        <w:p>
                          <w:pPr>
                            <w:rPr>
                              <w:rFonts w:hint="eastAsia" w:eastAsia="宋体"/>
                              <w:lang w:eastAsia="zh-CN"/>
                            </w:rPr>
                          </w:pPr>
                        </w:p>
                      </w:txbxContent>
                    </wps:txbx>
                    <wps:bodyPr lIns="0" tIns="0" rIns="0" bIns="0" upright="0"/>
                  </wps:wsp>
                </a:graphicData>
              </a:graphic>
            </wp:anchor>
          </w:drawing>
        </mc:Choice>
        <mc:Fallback>
          <w:pict>
            <v:shape id="_x0000_s1026" o:spid="_x0000_s1026" o:spt="202" type="#_x0000_t202" style="position:absolute;left:0pt;margin-left:373.45pt;margin-top:4.3pt;height:51.95pt;width:55.45pt;mso-position-horizontal-relative:margin;z-index:251659264;mso-width-relative:page;mso-height-relative:page;" filled="f" stroked="f" coordsize="21600,21600" o:gfxdata="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B938OF2AAAAAkBAAAPAAAAAAAA&#10;AAEAIAAAACIAAABkcnMvZG93bnJldi54bWxQSwECFAAUAAAACACHTuJA0stL5KABAAAjAwAADgAA&#10;AAAAAAABACAAAAAnAQAAZHJzL2Uyb0RvYy54bWxQSwUGAAAAAAYABgBZAQAAOQUAAAAA&#10;">
              <v:fill on="f" focussize="0,0"/>
              <v:stroke on="f"/>
              <v:imagedata o:title=""/>
              <o:lock v:ext="edit" aspectratio="f"/>
              <v:textbox inset="0mm,0mm,0mm,0mm">
                <w:txbxContent>
                  <w:p>
                    <w:pPr>
                      <w:rPr>
                        <w:rFonts w:hint="eastAsia" w:eastAsia="宋体"/>
                        <w:lang w:eastAsia="zh-CN"/>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41C74"/>
    <w:rsid w:val="02CA77EF"/>
    <w:rsid w:val="05A26533"/>
    <w:rsid w:val="06C744D4"/>
    <w:rsid w:val="0E6D2F0F"/>
    <w:rsid w:val="111556C9"/>
    <w:rsid w:val="12DF6623"/>
    <w:rsid w:val="14327422"/>
    <w:rsid w:val="15982AE4"/>
    <w:rsid w:val="166D1C13"/>
    <w:rsid w:val="16766E5C"/>
    <w:rsid w:val="1A802E49"/>
    <w:rsid w:val="1C8C6DBA"/>
    <w:rsid w:val="1F621842"/>
    <w:rsid w:val="22702F83"/>
    <w:rsid w:val="24055632"/>
    <w:rsid w:val="26997074"/>
    <w:rsid w:val="27744C08"/>
    <w:rsid w:val="2C1A27E0"/>
    <w:rsid w:val="2EE419F9"/>
    <w:rsid w:val="35490719"/>
    <w:rsid w:val="360F223B"/>
    <w:rsid w:val="36885271"/>
    <w:rsid w:val="37B86463"/>
    <w:rsid w:val="39543E38"/>
    <w:rsid w:val="3BAE1972"/>
    <w:rsid w:val="40B97D17"/>
    <w:rsid w:val="4BED7A0C"/>
    <w:rsid w:val="4FE25CEE"/>
    <w:rsid w:val="51152B6B"/>
    <w:rsid w:val="523B71BF"/>
    <w:rsid w:val="5A2046FE"/>
    <w:rsid w:val="5A6B629A"/>
    <w:rsid w:val="5B5C1D84"/>
    <w:rsid w:val="5B797405"/>
    <w:rsid w:val="5B9C07B4"/>
    <w:rsid w:val="5EB46EBF"/>
    <w:rsid w:val="5EC80D54"/>
    <w:rsid w:val="5F617833"/>
    <w:rsid w:val="67824D1C"/>
    <w:rsid w:val="690878D2"/>
    <w:rsid w:val="690C0C85"/>
    <w:rsid w:val="6DC55C45"/>
    <w:rsid w:val="6E097A71"/>
    <w:rsid w:val="71365CCA"/>
    <w:rsid w:val="72BF6B72"/>
    <w:rsid w:val="73A25AF1"/>
    <w:rsid w:val="750F6782"/>
    <w:rsid w:val="7BA17EDD"/>
    <w:rsid w:val="7C372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宋体" w:cs="Times New Roman"/>
      <w:sz w:val="22"/>
      <w:szCs w:val="22"/>
      <w:lang w:val="en-US" w:eastAsia="zh-CN" w:bidi="ar-SA"/>
    </w:rPr>
  </w:style>
  <w:style w:type="character" w:default="1" w:styleId="6">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Body Text"/>
    <w:basedOn w:val="1"/>
    <w:qFormat/>
    <w:uiPriority w:val="0"/>
    <w:pPr>
      <w:spacing w:before="100" w:beforeLines="0" w:beforeAutospacing="1" w:after="120" w:afterLines="0"/>
    </w:pPr>
    <w:rPr>
      <w:rFonts w:ascii="Calibri" w:hAnsi="Calibri" w:eastAsia="宋体" w:cs="黑体"/>
      <w:szCs w:val="21"/>
    </w:rPr>
  </w:style>
  <w:style w:type="paragraph" w:styleId="3">
    <w:name w:val="footer"/>
    <w:basedOn w:val="1"/>
    <w:unhideWhenUsed/>
    <w:qFormat/>
    <w:uiPriority w:val="99"/>
    <w:pPr>
      <w:tabs>
        <w:tab w:val="center" w:pos="4153"/>
        <w:tab w:val="right" w:pos="8306"/>
      </w:tabs>
    </w:pPr>
    <w:rPr>
      <w:sz w:val="18"/>
      <w:szCs w:val="18"/>
    </w:rPr>
  </w:style>
  <w:style w:type="paragraph" w:styleId="4">
    <w:name w:val="footnote text"/>
    <w:basedOn w:val="1"/>
    <w:qFormat/>
    <w:uiPriority w:val="0"/>
    <w:pPr>
      <w:snapToGrid w:val="0"/>
      <w:jc w:val="left"/>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TotalTime>
  <ScaleCrop>false</ScaleCrop>
  <LinksUpToDate>false</LinksUpToDate>
  <CharactersWithSpaces>0</CharactersWithSpaces>
  <Application>WPS Office_11.1.0.9098_F1E327BC-269C-435d-A152-05C5408002CA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2023-08-28T10:12:00Z</dcterms:created>
  <dc:creator>Lenovo</dc:creator>
  <cp:lastModifiedBy>Lenovo</cp:lastModifiedBy>
  <cp:lastPrinted>2023-11-16T02:46:18Z</cp:lastPrinted>
  <dcterms:modified xsi:type="dcterms:W3CDTF">2023-11-16T02:47:08Z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ies>
</file>