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center"/>
        <w:textAlignment w:val="auto"/>
        <w:rPr>
          <w:rFonts w:hint="eastAsia" w:eastAsia="方正小标宋简体"/>
          <w:color w:val="000000" w:themeColor="text1"/>
          <w:spacing w:val="-4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color w:val="000000" w:themeColor="text1"/>
          <w:spacing w:val="-4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第十四师昆玉市加快服务</w:t>
      </w:r>
      <w:r>
        <w:rPr>
          <w:rFonts w:hint="eastAsia" w:eastAsia="方正小标宋简体"/>
          <w:color w:val="000000" w:themeColor="text1"/>
          <w:spacing w:val="-4"/>
          <w:sz w:val="40"/>
          <w:szCs w:val="40"/>
          <w14:textFill>
            <w14:solidFill>
              <w14:schemeClr w14:val="tx1"/>
            </w14:solidFill>
          </w14:textFill>
        </w:rPr>
        <w:t>业高质量发展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center"/>
        <w:textAlignment w:val="auto"/>
        <w:rPr>
          <w:rFonts w:hint="eastAsia" w:eastAsia="方正小标宋简体"/>
          <w:color w:val="000000" w:themeColor="text1"/>
          <w:spacing w:val="-4"/>
          <w:sz w:val="40"/>
          <w:szCs w:val="4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color w:val="000000" w:themeColor="text1"/>
          <w:spacing w:val="-4"/>
          <w:sz w:val="40"/>
          <w:szCs w:val="40"/>
          <w14:textFill>
            <w14:solidFill>
              <w14:schemeClr w14:val="tx1"/>
            </w14:solidFill>
          </w14:textFill>
        </w:rPr>
        <w:t>扶持政策（试行）</w:t>
      </w:r>
      <w:r>
        <w:rPr>
          <w:rFonts w:hint="eastAsia" w:eastAsia="方正小标宋简体"/>
          <w:color w:val="000000" w:themeColor="text1"/>
          <w:spacing w:val="-4"/>
          <w:sz w:val="40"/>
          <w:szCs w:val="4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eastAsia="方正小标宋简体"/>
          <w:color w:val="000000" w:themeColor="text1"/>
          <w:spacing w:val="-4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征求意见稿</w:t>
      </w:r>
      <w:r>
        <w:rPr>
          <w:rFonts w:hint="eastAsia" w:eastAsia="方正小标宋简体"/>
          <w:color w:val="000000" w:themeColor="text1"/>
          <w:spacing w:val="-4"/>
          <w:sz w:val="40"/>
          <w:szCs w:val="40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spacing w:line="360" w:lineRule="exact"/>
        <w:ind w:firstLine="632" w:firstLineChars="200"/>
        <w:rPr>
          <w:rFonts w:hint="eastAsia" w:eastAsia="方正仿宋简体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  <w:t>一、适用范围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适用于注册登记、税收征管关系及统计关系在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第十四师昆玉市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行政区域内，符合国家有关产业政策和师市产业发展方向，依法履行签约协议的招商引资项目或各类市场主体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  <w:t>二、政策定位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坚持问题导向、目标导向、结果导向相统一，聚焦发展目标再提升、发展导向再明确、发展措施再强化，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扬优势、补短板，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着力解决当前经济发展紧要和短板问题，为师市高质量发展政策体系的组成部分。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黑体" w:hAnsi="黑体" w:eastAsia="黑体" w:cs="黑体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  <w:t>三、扶持政策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交通物流业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1.物流企业晋升奖励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。对在师市辖区注册并运营，2020年后新晋升国家2A级物流企业，给予10万元一次性奖励。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金融服务业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对落户师市的产业发展项目使用银行贷款的，可根据项目固定资产投资及贷款情况，对其发生的中长期银行贷款、流动资金贷款给予贴息补助，贴息时间不超过2年，每年贴息不超过500万元。正常贷款期限之外的加息、罚息不予补助。固定资产投资在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000万元（含）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以上的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，按银行1年期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LPR（人民银行市场报价）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基准利率的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0%给予贴息。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3.服务业个体房屋贷款贴息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2024年1月1日起，在师市购买或租用门面房开办餐饮、住宿等生活性服务业和建材、农资销售等生产性服务业的市场主体，住宿业室内使用面积2000平方米（含）以上、其他服务业室内事用面积100平方米（含）以上，正式营业并申请银行贷款的，师市给予经营者100%的贷款贴息，贴息资金按一年期LPR+150点计算，贴息期限为2年，每年贴息不超过100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信息服务业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4.物流信息平台建设奖励。对物流企业投资建设的物流信息平台，投资额达500万元以上的，投入运营后给予一次性50万元奖励。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5.年营业收入首次达到1000万元及以上的信息传输、软件和信息技术服务业法人企业，每户奖励10万元。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农业服务业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6.稳定规范运行一年及以上，首次纳入限额(规模)以上统计的农工专业合作社，给予一次性奖励10万元。纳入限额以上统计且实现销售额同比增长20%及以上的农副产品销售企业，给予一次性奖励10万元。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商贸服务业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7.批零住餐单位升规入统奖励。2023年1月1日后对首次升为限额以上的批发、零售、住宿、餐饮的法人单位，给予奖励8万元，资金分3年落实到位（2:4:2）；对首次升为限额以上的批发、零售、住宿、餐饮的个体工商户，给予奖励5万元，资金分3年落实到位（1:3:1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8.在库批零住餐单位奖励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对在库的限额以上批发、零售、住宿、餐饮单位增速在20%（含）以上，给予3万元奖励。（享受该条款政策的单位不重复享受本政策中升规入统奖励）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9.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未纳入限额以上统计的大型商业综合体、大型专业市场、特色商业街区(入驻特色街区经营户超过20家及以上)通过实行统一收银、统一核算的运营管理模式后纳入限额以上商贸企业统计库内，年销售额达到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000万元及以上，入库第一年销售额(同比上一年度企业销售额)增长5%以上的奖励5万元，入库第二年销售额保持增长在10%以上的奖励6万元，入库第三年销售额保持增长在20%以上的奖励7万元。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10.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对实施统一收银、统一核算并纳入限额以上统计的商超及连锁店(商超指经营规模达2000平方米以上的、连锁店指十家以上具有统一品牌经营的店铺),年度销售额达到0.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亿元、同比增长7%及以上的，一次性给予运营主体励5万元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11.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电子商务企业在师市设立具有独立法人资格的企业总部、区域性总部、结算中心或对师市电子商务发展具有带动示范引领作用的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在投入运营后，按其当年对师市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或园区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地方特定财政贡献，超过100万元的，给予奖励20万元，运营后第二年度，对师市或园区地方特定财政献增速达到5%以上的，给予奖励15万元，第三年度对地方特定财政贡献增速达到5%以上的，给予奖励10万元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12.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对限额以上统计的汽车销售企业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当年销售额达500万元（含）-2000万元的、2000万元（含）以上的，分别给予10万元、20万元一次性奖励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仿宋_GB2312" w:hAnsi="仿宋_GB2312" w:eastAsia="仿宋_GB2312" w:cs="仿宋_GB2312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12.酒店项目。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2024年1月1日起，依法履行协议约定内容，对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新引进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师市实际完成固定资产投资额1亿元及以上，客房100间（含100间）以上（有大床房、双床房，有两种以上规格的套房，包括至少3个开间的豪华套房，装修高档，布局合理），70%客房的面积（不含卫生间）不小于20平方米，且带有大宴会厅或多功能厅、会议厅的酒店，按固定资产投资实际入统额的1%给予一次性奖励；对新引进师市实际完成固定资产投资额2亿元及以上，客房200间（含200间）以上（有大床房、双床房、残疾人客房、两种以上规格的套房，包括至少4个开间的豪华套房，装修豪华，布局合理），70%客房的面积（不含卫生间和门廊）不小于20平方米，且带有大宴会厅或多功能厅、会议厅的酒店，按固定资产投资实际入统额的2%给予一次性奖励。以上单个企业奖励最高不超过500万元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对在师市范围内租赁房产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改造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酒店项目，总投资已满500万元、客房总数50-100间的，建成对外营业后，经第三方评估，按4星级标准每间装修投入不低于3万元的，按0.5万元/间的标准给予一次性奖励；总投资已满1000万元、客房总数100间以上的，建成对外营业后，经第三方评估，按4星级标准每间装修投入不低于4万元的，按0.8万元/间的标准给予一次性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仿宋_GB2312" w:hAnsi="仿宋_GB2312" w:eastAsia="仿宋_GB2312" w:cs="仿宋_GB2312"/>
          <w:color w:val="FF0000"/>
          <w:szCs w:val="32"/>
          <w:lang w:val="en-US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13.对在师市投资建设的农贸市场、批发市场、餐饮、商业综合体、物流仓储、专业市场、双创示范基地、电子商务基地等其他现代服务业项目（不含房地产），固定资产投资在1000万元—5000万元（不 含）、5000万元—1亿元（不含）、1亿元（含）以上的，分别按其竣工验收时固定资产投资实际入统总额的1%、3%、5%给予奖励，最高不超过2000万元。对新引进师市实行企业统一管理、运营、结算的夜市经济体，固定资产投资实际入统额500万元（含500万元）以上的一次性奖励10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14.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对外贸易进出口奖励。在师市注册的生产型企业，当年进出口总额在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00万美元（含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00万美元）以上2000万美元以下的，按照0.005元人民币/美元给予一次性扶持；进出口总额在2000万美元（含2000万美元）以上5000万美元以下的，按照0.0075元人民币/美元给予一次性扶持；进出口总额在5000万美元（含5000万美元）以上的，按照0.01元人民币/美元给予一次性扶持，单个企业奖励最高不超过500万元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15.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汽车4S店、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连锁店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对在师市范围内开工建设总投资已满1000万元的汽车4S店项目、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连锁店项目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分别给予一次性50万元、30万元奖励。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16.支持开展惠民消费促进活动。每年安排500万元用于支持通过发放餐饮类、家电类、汽车类、商超零售类、加油类、文体类、住宿类等惠民消费券（电子券、纸质券），组织开展“汽车消费节”“家电消费节”“年货节”“美食节”“特色产品展销”“网红带货”“直播大赛”等形式多样、内容丰富的促进消费活动，全面激活师市消费市场，提升消费吸引力，提升消费吸引力，不断满足居民多样化、品质化消费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文化旅游业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17.</w:t>
      </w:r>
      <w:r>
        <w:rPr>
          <w:rFonts w:hint="default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投资新建旅游景区、景点政策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1）在师市投资新建旅游景区、景点（包括但不限于露营地、游乐园、研学基地、文创基地，不包括房地产）的，固定资产在5000万元以上的，以竣工验收时间为准，按固定资产投资总额的3%给予补助，单个项目最高不超过500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2）在师市投资新建旅游景区、景点，项目投资需向银行贷款的，贷款部分的资金利息给予30%的财政贴息支持，财政贴息的贷款资金不超过1亿元，财政贴息两年，利率按人民银行三年期同期贷款基准利率计算，贴息在景区、景点建成投入运营后兑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Times New Roman" w:hAnsi="Times New Roman" w:eastAsia="仿宋" w:cs="Times New Roman"/>
          <w:sz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18.</w:t>
      </w:r>
      <w:r>
        <w:rPr>
          <w:rFonts w:hint="default" w:ascii="Times New Roman" w:hAnsi="Times New Roman" w:eastAsia="仿宋" w:cs="Times New Roman"/>
          <w:sz w:val="32"/>
        </w:rPr>
        <w:t>投资新建</w:t>
      </w:r>
      <w:r>
        <w:rPr>
          <w:rFonts w:hint="default" w:ascii="Times New Roman" w:hAnsi="Times New Roman" w:eastAsia="仿宋" w:cs="Times New Roman"/>
          <w:sz w:val="32"/>
          <w:lang w:val="en-US" w:eastAsia="zh-CN"/>
        </w:rPr>
        <w:t>星级旅游饭店、</w:t>
      </w:r>
      <w:r>
        <w:rPr>
          <w:rFonts w:hint="default" w:ascii="Times New Roman" w:hAnsi="Times New Roman" w:eastAsia="仿宋" w:cs="Times New Roman"/>
          <w:sz w:val="32"/>
        </w:rPr>
        <w:t>酒店政策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（1）对在师市投资新建星级旅游饭店、酒店的，固定资产在2000万元以上的，以竣工验收时间为准，按固定资产投资总额的2%给予补助，单个项目最高不超过500万元。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2）新建四星级、五星级旅游饭店，项目投资需向银行贷款的，贷款部分的资金利息给予30%的财政贴息支持，财政贴息的贷款资金四星级旅游饭店不超过1亿元、五星级旅游饭店不超过2亿元（财政贴息两年，利率按人民银行三年期同期贷款基准利率计算）。贴息在旅游饭店封顶后、旅游饭店投入运营后各兑现50%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（3）物业扶持政策：新建的四星级、五星级旅游饭店，创建成功后第1—3年，旅游饭店室外亮化部分，实行市政电表管理，免除费用。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19.投资新建等级民宿政策。对在师市投资新建等级民宿的企业或个人，达到《旅游民宿基本要求与评价》（GB/T 41648-2022)规定丙级及以上标准的，每个等级民宿给予50万元奖励。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20.投资新建自驾车旅居车营地政策。在师市投资新建自驾车旅居车营地的企业或个人，达到《自驾车旅居车营地质量等级划分》（LBT 078-2019）规定的3C级及以上标准的，每个营地给予30万元奖励。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21.投资新建农家乐政策。对在师市投资新建农家乐的企业或个人，达到《新疆维吾尔自治区农家乐服务质量等级划分》(DB65/T2617-2015)规定三星级及以上农家乐标准的，每个农家乐给予5万元奖励。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22.注册旅行社政策。对在师市辖区注册成立旅行社，年接待游客达到2000人次的，给予5万元奖励；对在师市辖区注册旅行社分社，年接待游客达到5000人次的，给予5万元奖励。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23.考取导游证政策。对户口在师市辖区内，考取初级导游证、中级导游证、高级导游证的市民和职工，分别奖励0.3万元、0.6万元、1万元。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24.对引进知名文旅企业，投资额度较大的项目，采取“一企一策、一事一议”政策予以支持。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25.对新创建命名的国家5A级、4A级、3A级旅游景区，兵团分别一次性奖补500万元、200万元、50万元，师市配套奖励250万元、100万元、25万元。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26.对新创建命名的国家级、省级旅游度假区，兵团分别一次性奖补500万元、200万元，师市配套奖励250万元、100万元。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27.对新创建命名的国家、兵团级乡村旅游重点村（镇），兵团分别一次性奖补10万元、30万元，师市配套奖补5万元、15万元。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28.对新创建命名的国家、兵团级研学旅游基地、旅游休闲街区、夜间文化和旅游消费集聚区、工业旅游示范基地，兵团分别一次性奖补50万元，师市配套奖补25万元。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29.对新创建命名的五星级、四星级、三星级旅游饭店，兵团一次性奖补五星级100万元、四星级50万元，师市配套奖补五星级500万元、四星级25万元、三星级10万元。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30.对新创建命名的甲级、乙级、丙级旅游民宿，兵团分别奖补30万元、20万元、10万元，师市配套奖补15万元、10万元、5万元。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31.对新创建命名的五星级、四星级、三星级农家乐，兵团分别一次性奖补20万元、10万元、5万元，师市配套奖补10万元、5万元、3万元。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32.参加文创产品或旅游商品大赛评选活动，获得金奖、银奖、铜奖（或同等奖项）的文创产品和旅游商品，按照商品获奖名次分别给予企业或个人奖励，获评国家级的分别奖励10万元、5万元、3万元；获评自治区和兵团级的分别奖励5万元、3万元、1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33.经师市文旅部门推荐，在年度由国家、自治区和兵团举办的各类导游（讲解员）大赛中，被评为优秀导游（讲解员）等荣誉称号的，国家级、自治区和兵团级的分别给予1万元、0.5万元奖励。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34.师市各级举办的旅游、文化、体育节庆赛事活动，参与游客经第三方测定，达到2万人次的，奖补10万元，每单位一年奖励一次。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康养服务业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35.设备购置补助。新建健康养老项目，凭发票给予有资质的养老机构、医疗机构新购买设备总额20%的奖补，最高不超过1000万元。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八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其他产业</w:t>
      </w:r>
      <w:r>
        <w:rPr>
          <w:rFonts w:hint="eastAsia" w:ascii="楷体" w:hAnsi="楷体" w:eastAsia="楷体" w:cs="楷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default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36.师市建筑业发展扶持政策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鼓励优质建筑施工企业落户发展。对202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年1月1日后新落户的建筑施工企业，具备施工总承包一级（或甲级）资质且纳入统计数据当年产值保持正增长的奖励100万元，分三年拨付到位。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鼓励建筑施工企业晋升资质等级。2023年1月1日后对资质等级初次晋升为施工总承包特级（或综合）资质奖励500万元，分三年拨付到位；对资质等级初次晋升为施工总承包一级（或甲级）资质奖励100万元，分三年拨付到位，后续企业资质每增项一个一级（或甲级）资质的奖励20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（3）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鼓励建筑施工企业拓展市场。自202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年1月1日起师市建筑施工企业承揽师域外的工程项目，当年产值完成1亿元（含1亿元）以上3亿元以下的，一次性奖励10万元，次年产值增长10%（含10%）以上的一次性奖励10万元，依此类推；自2023年1月1日起师市建筑施工企业承揽师域外的工程项目，当年产值完成3亿元（含3亿元）以上5亿元以下的，一次性奖励30万元，次年产值增长7%（含7%）以上的一次性奖励30万元，依此类推；自2023年1月1日起师市建筑施工企业承揽师域外的工程项目，当年产值完成5亿元（含5亿元）以上的，一次性奖励50万元，次年产值保持正增长的，一次性奖励50万元，依此类推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37.专业中介服务机构。对在师市注册落户的会计事务所、律师事务所、审计事务所、评估事务所等各类专业中介服务机构和咨询、设计、规划、研究机构，专业技术人员（中高级职称）在5人以上的，稳定经营一年后，给予一次性10万元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38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.对财政贡献的奖励。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服务类企业自生产经营之日起，每年对师市财政实际贡献额在50万元（含）-100万元、100万元（含）-200万元、200万元（含）以上的，按其对师市财政实际贡献额的30%、40%、50%给予奖励，奖励时限为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年。新设立企业核心高层管理人员享受个人奖励优惠政策，企业核心高层管理人员每年对师市财政实际贡献额在1万元（含）-3万元，3万元（含）-5万元、5万元（含）以上，按其对师市财政实际贡献额的40%、50%、60%给予奖励，奖励时限为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  <w:t>四、相关要求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（一）国家、自治区、兵团另有政策规定的，遵从其规定；如遇国家、自治区、兵团重大政策调整的，遵从其规定，已获得国家、自治区、兵团和师市其他资金扶持的，原则上不重复享受扶持。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（二）本办法所指投资额均不包含土地价款。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（三）严格落实企业投资负面清单管理制度，对已落户项目，运营期间发生严重违法行为，受到有关部门处罚的、严重失信受到联合惩戒的、构成犯罪被依法追究刑事责任的，取消企业享受扶持政策资格，追回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当年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已享受的支持资金。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（四）享受扶持的新入库限上单位，自入库之日起三年内不得自行退库，对于恶意退库骗取扶持资金的，追回已享受的支持资金。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32"/>
          <w14:textFill>
            <w14:solidFill>
              <w14:schemeClr w14:val="tx1"/>
            </w14:solidFill>
          </w14:textFill>
        </w:rPr>
        <w:t>五、附则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（一）本扶持政策由师市商务局总牵头，由师市农业农村局、工业和信息化局、住房和城乡建设局、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交通运输局、财政局（金融办）、文体广旅局等部门负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责解释。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）本政策根据执行情况，适时修订完善。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）本扶持政策自印发之日起执行，执行期暂定至2025年12月31日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同时，《关于印发〈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第十四师昆玉市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招商引资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优惠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政策（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暂行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）〉的通知》（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昆政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发〔202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〕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>号）废止。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posOffset>4951095</wp:posOffset>
              </wp:positionH>
              <wp:positionV relativeFrom="paragraph">
                <wp:posOffset>0</wp:posOffset>
              </wp:positionV>
              <wp:extent cx="664845" cy="1828800"/>
              <wp:effectExtent l="0" t="0" r="0" b="0"/>
              <wp:wrapNone/>
              <wp:docPr id="4098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845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　</w:t>
                          </w:r>
                        </w:p>
                      </w:txbxContent>
                    </wps:txbx>
                    <wps:bodyPr vert="horz" wrap="squar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left:389.85pt;margin-top:0pt;height:144pt;width:52.35pt;mso-position-horizontal-relative:margin;z-index:251659264;mso-width-relative:page;mso-height-relative:page;" filled="f" stroked="f" coordsize="21600,21600" o:gfxdata="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F54lEdcA&#10;AAAIAQAADwAAAAAAAAABACAAAAAiAAAAZHJzL2Rvd25yZXYueG1sUEsBAhQAFAAAAAgAh07iQEH1&#10;w9rnAQAAxgMAAA4AAAAAAAAAAQAgAAAAJgEAAGRycy9lMm9Eb2MueG1sUEsFBgAAAAAGAAYAWQEA&#10;AH8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　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ind w:firstLine="280" w:firstLineChars="1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bowdo4AgAAbwQAAA4AAABkcnMvZTJvRG9jLnhtbK1UzY7TMBC+I/EO&#10;lu80bVes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9ujB2j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firstLine="280" w:firstLineChars="100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jODU0NjhiYTg3M2RhYWM5YjkyNTU1MDMzMTc3Y2UifQ=="/>
  </w:docVars>
  <w:rsids>
    <w:rsidRoot w:val="72A00D4E"/>
    <w:rsid w:val="0015546E"/>
    <w:rsid w:val="01EE2B9A"/>
    <w:rsid w:val="021D024C"/>
    <w:rsid w:val="03875840"/>
    <w:rsid w:val="06EF5F08"/>
    <w:rsid w:val="08C2469F"/>
    <w:rsid w:val="0B695861"/>
    <w:rsid w:val="0BA50989"/>
    <w:rsid w:val="0C102B19"/>
    <w:rsid w:val="0C321039"/>
    <w:rsid w:val="0CC94CB4"/>
    <w:rsid w:val="0E8D5AAD"/>
    <w:rsid w:val="0EA16389"/>
    <w:rsid w:val="0F5B02A6"/>
    <w:rsid w:val="100A39D9"/>
    <w:rsid w:val="116419B2"/>
    <w:rsid w:val="12AC1CE0"/>
    <w:rsid w:val="13300B1B"/>
    <w:rsid w:val="14103A0E"/>
    <w:rsid w:val="14687E59"/>
    <w:rsid w:val="14730AC4"/>
    <w:rsid w:val="152100F8"/>
    <w:rsid w:val="1606462B"/>
    <w:rsid w:val="181724C7"/>
    <w:rsid w:val="19AB6950"/>
    <w:rsid w:val="1A654C35"/>
    <w:rsid w:val="1B6D3C57"/>
    <w:rsid w:val="1BB2083A"/>
    <w:rsid w:val="1C201085"/>
    <w:rsid w:val="1DF84F09"/>
    <w:rsid w:val="1E221E1A"/>
    <w:rsid w:val="1EB42FED"/>
    <w:rsid w:val="1ED0096A"/>
    <w:rsid w:val="20072B4A"/>
    <w:rsid w:val="20BF577D"/>
    <w:rsid w:val="21B43532"/>
    <w:rsid w:val="21DB5A0B"/>
    <w:rsid w:val="243D7D0C"/>
    <w:rsid w:val="251E582B"/>
    <w:rsid w:val="25DB7CA3"/>
    <w:rsid w:val="286C6A28"/>
    <w:rsid w:val="28E5419E"/>
    <w:rsid w:val="28E87374"/>
    <w:rsid w:val="291508FF"/>
    <w:rsid w:val="2CBB4D37"/>
    <w:rsid w:val="2D544FC9"/>
    <w:rsid w:val="2D5E7C02"/>
    <w:rsid w:val="2D6A18F8"/>
    <w:rsid w:val="2E235BD9"/>
    <w:rsid w:val="2EA46020"/>
    <w:rsid w:val="2EDA32F0"/>
    <w:rsid w:val="305446F6"/>
    <w:rsid w:val="33313C4B"/>
    <w:rsid w:val="33CB6E15"/>
    <w:rsid w:val="347C11D8"/>
    <w:rsid w:val="34DA0600"/>
    <w:rsid w:val="35334D3F"/>
    <w:rsid w:val="3571029D"/>
    <w:rsid w:val="35784D1A"/>
    <w:rsid w:val="36573E64"/>
    <w:rsid w:val="36B24B74"/>
    <w:rsid w:val="379829BA"/>
    <w:rsid w:val="380D58C5"/>
    <w:rsid w:val="38CE4E96"/>
    <w:rsid w:val="3AFD1A26"/>
    <w:rsid w:val="3B2C07C3"/>
    <w:rsid w:val="3CA40A4A"/>
    <w:rsid w:val="3D2118C2"/>
    <w:rsid w:val="3E4520F7"/>
    <w:rsid w:val="3F276DF8"/>
    <w:rsid w:val="4010653E"/>
    <w:rsid w:val="402E4865"/>
    <w:rsid w:val="40321735"/>
    <w:rsid w:val="404C02D7"/>
    <w:rsid w:val="409F2191"/>
    <w:rsid w:val="41F91AC3"/>
    <w:rsid w:val="42374CC7"/>
    <w:rsid w:val="442F333A"/>
    <w:rsid w:val="45504D80"/>
    <w:rsid w:val="46040E28"/>
    <w:rsid w:val="47176872"/>
    <w:rsid w:val="488D213B"/>
    <w:rsid w:val="48BD1A4C"/>
    <w:rsid w:val="4A031344"/>
    <w:rsid w:val="4AD9012A"/>
    <w:rsid w:val="4AE03868"/>
    <w:rsid w:val="4CA404BD"/>
    <w:rsid w:val="4E29227D"/>
    <w:rsid w:val="4EF95DEC"/>
    <w:rsid w:val="4FFB126F"/>
    <w:rsid w:val="4FFD5D84"/>
    <w:rsid w:val="5237351C"/>
    <w:rsid w:val="52CA3BE5"/>
    <w:rsid w:val="52F53310"/>
    <w:rsid w:val="53A65368"/>
    <w:rsid w:val="540A5A6E"/>
    <w:rsid w:val="540B2F8A"/>
    <w:rsid w:val="559B2D78"/>
    <w:rsid w:val="55E56F16"/>
    <w:rsid w:val="55E64AAC"/>
    <w:rsid w:val="572012B6"/>
    <w:rsid w:val="58182336"/>
    <w:rsid w:val="582A44AF"/>
    <w:rsid w:val="5B302ECC"/>
    <w:rsid w:val="5B8836FB"/>
    <w:rsid w:val="5BAF2F7B"/>
    <w:rsid w:val="5BF20169"/>
    <w:rsid w:val="5C577204"/>
    <w:rsid w:val="5CF1209C"/>
    <w:rsid w:val="5D2A3E8D"/>
    <w:rsid w:val="5D9A6F79"/>
    <w:rsid w:val="5F0964D1"/>
    <w:rsid w:val="6188267E"/>
    <w:rsid w:val="61936078"/>
    <w:rsid w:val="62884AD0"/>
    <w:rsid w:val="634F5E3F"/>
    <w:rsid w:val="6451423B"/>
    <w:rsid w:val="665A2A9A"/>
    <w:rsid w:val="671D183F"/>
    <w:rsid w:val="67990788"/>
    <w:rsid w:val="67D05B4D"/>
    <w:rsid w:val="67EF0132"/>
    <w:rsid w:val="67EF1DC4"/>
    <w:rsid w:val="687D4598"/>
    <w:rsid w:val="68F0228B"/>
    <w:rsid w:val="693B6D5C"/>
    <w:rsid w:val="696300AD"/>
    <w:rsid w:val="69B504CF"/>
    <w:rsid w:val="6C216085"/>
    <w:rsid w:val="6D962511"/>
    <w:rsid w:val="6E245FB7"/>
    <w:rsid w:val="6E2E77FA"/>
    <w:rsid w:val="6E6B0222"/>
    <w:rsid w:val="704A4AC6"/>
    <w:rsid w:val="720507D4"/>
    <w:rsid w:val="724C57BD"/>
    <w:rsid w:val="7274767F"/>
    <w:rsid w:val="72A00D4E"/>
    <w:rsid w:val="73DE219F"/>
    <w:rsid w:val="74CA5CB3"/>
    <w:rsid w:val="75595B00"/>
    <w:rsid w:val="75ED062E"/>
    <w:rsid w:val="76351189"/>
    <w:rsid w:val="781F6477"/>
    <w:rsid w:val="78226CF6"/>
    <w:rsid w:val="79695E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="宋体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outlineLvl w:val="1"/>
    </w:pPr>
    <w:rPr>
      <w:rFonts w:ascii="Arial" w:hAnsi="Arial" w:cs="Arial"/>
      <w:b/>
      <w:bCs/>
    </w:rPr>
  </w:style>
  <w:style w:type="character" w:default="1" w:styleId="13">
    <w:name w:val="Default Paragraph Font"/>
    <w:qFormat/>
    <w:uiPriority w:val="0"/>
  </w:style>
  <w:style w:type="table" w:default="1" w:styleId="11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2"/>
      <w:lang w:val="en-US" w:eastAsia="zh-CN" w:bidi="ar-SA"/>
    </w:rPr>
  </w:style>
  <w:style w:type="paragraph" w:styleId="4">
    <w:name w:val="Body Text"/>
    <w:basedOn w:val="1"/>
    <w:next w:val="5"/>
    <w:qFormat/>
    <w:uiPriority w:val="0"/>
    <w:rPr>
      <w:rFonts w:eastAsia="方正仿宋_GBK" w:cs="仿宋_GB2312"/>
      <w:szCs w:val="32"/>
    </w:rPr>
  </w:style>
  <w:style w:type="paragraph" w:styleId="5">
    <w:name w:val="Body Text First Indent"/>
    <w:basedOn w:val="4"/>
    <w:next w:val="1"/>
    <w:qFormat/>
    <w:uiPriority w:val="0"/>
  </w:style>
  <w:style w:type="paragraph" w:styleId="6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6"/>
    <w:next w:val="1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Doc2023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Doc2023.dot</Template>
  <Pages>30</Pages>
  <Words>14645</Words>
  <Characters>15990</Characters>
  <Paragraphs>40</Paragraphs>
  <TotalTime>13</TotalTime>
  <ScaleCrop>false</ScaleCrop>
  <LinksUpToDate>false</LinksUpToDate>
  <CharactersWithSpaces>16000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2023-11-30T01:55:00Z</dcterms:created>
  <dc:creator>Administrator</dc:creator>
  <cp:lastModifiedBy>Administrator</cp:lastModifiedBy>
  <cp:lastPrinted>2024-01-11T04:58:00Z</cp:lastPrinted>
  <dcterms:modified xsi:type="dcterms:W3CDTF">2024-01-15T05:39:06Z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C3515F160D4E4A41B6B292645955DD0D_13</vt:lpwstr>
  </property>
</Properties>
</file>