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第十四师昆玉市2023年度法治政府建设</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工作报告</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Times New Roman" w:hAnsi="Times New Roman" w:eastAsia="楷体_GB2312" w:cs="Times New Roman"/>
          <w:b w:val="0"/>
          <w:kern w:val="0"/>
          <w:sz w:val="32"/>
          <w:szCs w:val="32"/>
          <w:lang w:val="en-US" w:eastAsia="zh-CN"/>
        </w:rPr>
      </w:pPr>
    </w:p>
    <w:p>
      <w:pPr>
        <w:pStyle w:val="6"/>
        <w:keepNext w:val="0"/>
        <w:keepLines w:val="0"/>
        <w:pageBreakBefore w:val="0"/>
        <w:widowControl w:val="0"/>
        <w:kinsoku/>
        <w:wordWrap/>
        <w:overflowPunct/>
        <w:topLinePunct w:val="0"/>
        <w:autoSpaceDE/>
        <w:autoSpaceDN/>
        <w:bidi w:val="0"/>
        <w:adjustRightInd w:val="0"/>
        <w:snapToGrid w:val="0"/>
        <w:spacing w:after="0" w:line="560" w:lineRule="exact"/>
        <w:ind w:left="0" w:leftChars="0" w:right="0" w:firstLine="640" w:firstLineChars="200"/>
        <w:jc w:val="both"/>
        <w:textAlignment w:val="auto"/>
        <w:rPr>
          <w:rFonts w:ascii="Times New Roman" w:hAnsi="Times New Roman" w:eastAsia="仿宋_GB2312" w:cs="Times New Roman"/>
          <w:color w:val="000000"/>
          <w:kern w:val="0"/>
          <w:sz w:val="32"/>
          <w:szCs w:val="32"/>
          <w:lang w:val="en-US" w:eastAsia="zh-CN" w:bidi="ar-SA"/>
        </w:rPr>
      </w:pPr>
      <w:r>
        <w:rPr>
          <w:rFonts w:ascii="Times New Roman" w:hAnsi="Times New Roman" w:eastAsia="仿宋_GB2312" w:cs="Times New Roman"/>
          <w:color w:val="auto"/>
          <w:sz w:val="32"/>
          <w:szCs w:val="32"/>
          <w:lang w:eastAsia="zh-CN" w:bidi="ar-SA"/>
        </w:rPr>
        <w:t>202</w:t>
      </w:r>
      <w:r>
        <w:rPr>
          <w:rFonts w:ascii="Times New Roman" w:hAnsi="Times New Roman" w:eastAsia="仿宋_GB2312" w:cs="Times New Roman"/>
          <w:color w:val="auto"/>
          <w:sz w:val="32"/>
          <w:szCs w:val="32"/>
          <w:lang w:val="en-US" w:eastAsia="zh-CN" w:bidi="ar-SA"/>
        </w:rPr>
        <w:t>3</w:t>
      </w:r>
      <w:r>
        <w:rPr>
          <w:rFonts w:ascii="Times New Roman" w:hAnsi="Times New Roman" w:eastAsia="仿宋_GB2312" w:cs="Times New Roman"/>
          <w:color w:val="auto"/>
          <w:sz w:val="32"/>
          <w:szCs w:val="32"/>
          <w:lang w:eastAsia="zh-CN" w:bidi="ar-SA"/>
        </w:rPr>
        <w:t>年，第十四师昆玉市坚持</w:t>
      </w:r>
      <w:r>
        <w:rPr>
          <w:rFonts w:ascii="Times New Roman" w:hAnsi="Times New Roman" w:eastAsia="仿宋_GB2312" w:cs="Times New Roman"/>
          <w:color w:val="000000"/>
          <w:kern w:val="2"/>
          <w:sz w:val="32"/>
          <w:szCs w:val="32"/>
          <w:vertAlign w:val="baseline"/>
          <w:lang w:val="en-US" w:eastAsia="zh-CN"/>
        </w:rPr>
        <w:t>以习近平新时代中国特色社会主义思想为指导，</w:t>
      </w:r>
      <w:r>
        <w:rPr>
          <w:rFonts w:ascii="Times New Roman" w:hAnsi="Times New Roman" w:eastAsia="仿宋_GB2312" w:cs="Times New Roman"/>
          <w:color w:val="auto"/>
          <w:sz w:val="32"/>
          <w:szCs w:val="32"/>
          <w:lang w:eastAsia="zh-CN" w:bidi="ar-SA"/>
        </w:rPr>
        <w:t>全面贯彻落实党的二十大和二十届二中全会精神，</w:t>
      </w:r>
      <w:r>
        <w:rPr>
          <w:rFonts w:ascii="Times New Roman" w:hAnsi="Times New Roman" w:eastAsia="仿宋_GB2312" w:cs="Times New Roman"/>
          <w:color w:val="000000"/>
          <w:kern w:val="2"/>
          <w:sz w:val="32"/>
          <w:szCs w:val="32"/>
          <w:vertAlign w:val="baseline"/>
          <w:lang w:val="en-US" w:eastAsia="zh-CN"/>
        </w:rPr>
        <w:t>深入学习贯彻习近平法治思想，</w:t>
      </w:r>
      <w:r>
        <w:rPr>
          <w:rFonts w:ascii="Times New Roman" w:hAnsi="Times New Roman" w:eastAsia="仿宋_GB2312" w:cs="Times New Roman"/>
          <w:color w:val="auto"/>
          <w:sz w:val="32"/>
          <w:szCs w:val="32"/>
          <w:lang w:val="en-US" w:eastAsia="zh-CN" w:bidi="ar-SA"/>
        </w:rPr>
        <w:t>聚焦维稳戍边职责使命，深化“政”的改革，法治师市建设取得新成效。皮山农场被中央政法委评为全国“枫桥式工作法”单位，皮山农场人民调解委员会被司法部评为全国模范人民调解委员会，第十四师昆玉市司法局被中华全国人民调解员协会评为组织宣传人民调解工作县级先进集体，</w:t>
      </w:r>
      <w:r>
        <w:rPr>
          <w:rFonts w:ascii="Times New Roman" w:hAnsi="Times New Roman" w:eastAsia="仿宋_GB2312" w:cs="Times New Roman"/>
          <w:sz w:val="32"/>
          <w:szCs w:val="32"/>
          <w:lang w:val="en-US" w:eastAsia="zh-CN" w:bidi="ar-SA"/>
        </w:rPr>
        <w:t>225团司法所杨旭东被司法部评为</w:t>
      </w:r>
      <w:r>
        <w:rPr>
          <w:rFonts w:ascii="Times New Roman" w:hAnsi="Times New Roman" w:eastAsia="仿宋_GB2312" w:cs="Times New Roman"/>
          <w:color w:val="auto"/>
          <w:sz w:val="32"/>
          <w:szCs w:val="32"/>
          <w:lang w:val="en-US" w:eastAsia="zh-CN" w:bidi="ar-SA"/>
        </w:rPr>
        <w:t>全国模范人民调解员，</w:t>
      </w:r>
      <w:r>
        <w:rPr>
          <w:rFonts w:ascii="Times New Roman" w:hAnsi="Times New Roman" w:cs="Times New Roman"/>
          <w:color w:val="auto"/>
          <w:sz w:val="32"/>
          <w:szCs w:val="32"/>
          <w:lang w:val="en-US" w:eastAsia="zh-CN" w:bidi="ar-SA"/>
        </w:rPr>
        <w:t>师市司法局杨冬冬被中华全国人民调解员协会评为先进个人，</w:t>
      </w:r>
      <w:r>
        <w:rPr>
          <w:rFonts w:hint="eastAsia" w:ascii="Times New Roman" w:hAnsi="Times New Roman" w:cs="Times New Roman"/>
          <w:color w:val="auto"/>
          <w:sz w:val="32"/>
          <w:szCs w:val="32"/>
          <w:lang w:val="en-US" w:eastAsia="zh-CN" w:bidi="ar-SA"/>
        </w:rPr>
        <w:t>师市</w:t>
      </w:r>
      <w:r>
        <w:rPr>
          <w:rFonts w:ascii="Times New Roman" w:hAnsi="Times New Roman" w:eastAsia="仿宋_GB2312" w:cs="Times New Roman"/>
          <w:color w:val="auto"/>
          <w:sz w:val="32"/>
          <w:szCs w:val="32"/>
          <w:lang w:val="en-US" w:eastAsia="zh-CN" w:bidi="ar-SA"/>
        </w:rPr>
        <w:t>公安局</w:t>
      </w:r>
      <w:r>
        <w:rPr>
          <w:rFonts w:ascii="Times New Roman" w:hAnsi="Times New Roman" w:eastAsia="仿宋_GB2312" w:cs="Times New Roman"/>
          <w:sz w:val="32"/>
          <w:szCs w:val="32"/>
          <w:lang w:val="en-US" w:eastAsia="zh-CN" w:bidi="ar-SA"/>
        </w:rPr>
        <w:t>宋志龙被公安部评为全国公安机关成绩突出青年民警。</w:t>
      </w:r>
      <w:r>
        <w:rPr>
          <w:rFonts w:ascii="Times New Roman" w:hAnsi="Times New Roman" w:eastAsia="仿宋_GB2312" w:cs="Times New Roman"/>
          <w:color w:val="auto"/>
          <w:sz w:val="32"/>
          <w:szCs w:val="32"/>
          <w:lang w:val="en-US" w:eastAsia="zh-CN" w:bidi="ar-SA"/>
        </w:rPr>
        <w:t>现将有关情况报告如下：</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ascii="Times New Roman" w:hAnsi="Times New Roman" w:eastAsia="黑体" w:cs="Times New Roman"/>
          <w:color w:val="000000"/>
          <w:sz w:val="32"/>
          <w:szCs w:val="32"/>
          <w:lang w:val="en-US" w:eastAsia="zh-CN" w:bidi="ar-SA"/>
        </w:rPr>
      </w:pPr>
      <w:r>
        <w:rPr>
          <w:rFonts w:ascii="Times New Roman" w:hAnsi="Times New Roman" w:eastAsia="黑体" w:cs="Times New Roman"/>
          <w:color w:val="000000"/>
          <w:sz w:val="32"/>
          <w:szCs w:val="32"/>
          <w:lang w:val="zh-CN" w:eastAsia="zh-CN" w:bidi="ar-SA"/>
        </w:rPr>
        <w:t>一、</w:t>
      </w:r>
      <w:r>
        <w:rPr>
          <w:rFonts w:ascii="Times New Roman" w:hAnsi="Times New Roman" w:eastAsia="黑体" w:cs="Times New Roman"/>
          <w:color w:val="000000"/>
          <w:sz w:val="32"/>
          <w:szCs w:val="32"/>
          <w:lang w:val="en-US" w:eastAsia="zh-CN" w:bidi="ar-SA"/>
        </w:rPr>
        <w:t>2023年度推进法治政府建设的主要举措和成效</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ascii="Times New Roman" w:hAnsi="Times New Roman" w:eastAsia="仿宋_GB2312" w:cs="Times New Roman"/>
          <w:color w:val="auto"/>
          <w:kern w:val="2"/>
          <w:sz w:val="32"/>
          <w:szCs w:val="32"/>
          <w:highlight w:val="none"/>
          <w:u w:val="none"/>
          <w:lang w:val="en-US" w:eastAsia="zh-CN" w:bidi="ar-SA"/>
        </w:rPr>
      </w:pPr>
      <w:r>
        <w:rPr>
          <w:rFonts w:ascii="Times New Roman" w:hAnsi="Times New Roman" w:eastAsia="楷体_GB2312" w:cs="Times New Roman"/>
          <w:b/>
          <w:bCs/>
          <w:color w:val="auto"/>
          <w:sz w:val="32"/>
          <w:szCs w:val="32"/>
          <w:lang w:val="en-US" w:eastAsia="zh-CN" w:bidi="ar-SA"/>
        </w:rPr>
        <w:t>（</w:t>
      </w:r>
      <w:r>
        <w:rPr>
          <w:rFonts w:hint="eastAsia" w:eastAsia="楷体_GB2312" w:cs="Times New Roman"/>
          <w:b/>
          <w:bCs/>
          <w:color w:val="auto"/>
          <w:sz w:val="32"/>
          <w:szCs w:val="32"/>
          <w:lang w:val="en-US" w:eastAsia="zh-CN" w:bidi="ar-SA"/>
        </w:rPr>
        <w:t>一</w:t>
      </w:r>
      <w:r>
        <w:rPr>
          <w:rFonts w:ascii="Times New Roman" w:hAnsi="Times New Roman" w:eastAsia="楷体_GB2312" w:cs="Times New Roman"/>
          <w:b/>
          <w:bCs/>
          <w:color w:val="auto"/>
          <w:sz w:val="32"/>
          <w:szCs w:val="32"/>
          <w:lang w:val="en-US" w:eastAsia="zh-CN" w:bidi="ar-SA"/>
        </w:rPr>
        <w:t>）依法全面履行政府职能。</w:t>
      </w:r>
      <w:r>
        <w:rPr>
          <w:rFonts w:ascii="Times New Roman" w:hAnsi="Times New Roman" w:eastAsia="仿宋_GB2312" w:cs="Times New Roman"/>
          <w:b/>
          <w:bCs/>
          <w:color w:val="auto"/>
          <w:sz w:val="32"/>
          <w:szCs w:val="32"/>
          <w:lang w:val="en-US" w:eastAsia="zh-CN" w:bidi="ar-SA"/>
        </w:rPr>
        <w:t>一是深化法治政府示范创建。</w:t>
      </w:r>
      <w:r>
        <w:rPr>
          <w:rFonts w:ascii="Times New Roman" w:hAnsi="Times New Roman" w:eastAsia="仿宋_GB2312" w:cs="Times New Roman"/>
          <w:b w:val="0"/>
          <w:bCs w:val="0"/>
          <w:color w:val="auto"/>
          <w:sz w:val="32"/>
          <w:szCs w:val="32"/>
          <w:lang w:val="en-US" w:eastAsia="zh-CN" w:bidi="ar-SA"/>
        </w:rPr>
        <w:t>以第三批全国法治政府建设示范创建为契机，对照指标、补齐短板，积极开展建设法治政府示范创建活动，不断把法治政府建设向纵深推进。《打造“昆仑山下古丽花”人民调解品牌 构建政府引领矛盾多元调处化解新模式》项目被兵团作为单项示范创建项目推荐给中央依法治国办。</w:t>
      </w:r>
      <w:r>
        <w:rPr>
          <w:rFonts w:ascii="Times New Roman" w:hAnsi="Times New Roman" w:eastAsia="仿宋_GB2312" w:cs="Times New Roman"/>
          <w:b/>
          <w:bCs/>
          <w:color w:val="auto"/>
          <w:spacing w:val="2"/>
          <w:sz w:val="32"/>
          <w:szCs w:val="32"/>
          <w:lang w:val="en-US" w:eastAsia="zh-CN"/>
        </w:rPr>
        <w:t>二</w:t>
      </w:r>
      <w:r>
        <w:rPr>
          <w:rFonts w:ascii="Times New Roman" w:hAnsi="Times New Roman" w:eastAsia="仿宋_GB2312" w:cs="Times New Roman"/>
          <w:b/>
          <w:bCs/>
          <w:color w:val="auto"/>
          <w:sz w:val="32"/>
          <w:szCs w:val="32"/>
          <w:u w:val="none"/>
          <w:lang w:val="en-US" w:eastAsia="zh-CN" w:bidi="ar-SA"/>
        </w:rPr>
        <w:t>是持续深化行政审批制度改革。</w:t>
      </w:r>
      <w:r>
        <w:rPr>
          <w:rFonts w:ascii="Times New Roman" w:hAnsi="Times New Roman" w:eastAsia="仿宋_GB2312" w:cs="Times New Roman"/>
          <w:color w:val="auto"/>
          <w:sz w:val="32"/>
          <w:szCs w:val="32"/>
          <w:u w:val="none"/>
          <w:lang w:val="en-US" w:eastAsia="zh-CN" w:bidi="ar-SA"/>
        </w:rPr>
        <w:t>印发《关于规范公平竞争审查程序的指导意见》，推进“证照分离”改革全覆盖，优化简化行政审批程序。</w:t>
      </w:r>
      <w:r>
        <w:rPr>
          <w:rFonts w:ascii="Times New Roman" w:hAnsi="Times New Roman" w:eastAsia="仿宋_GB2312" w:cs="Times New Roman"/>
          <w:color w:val="auto"/>
          <w:kern w:val="2"/>
          <w:sz w:val="32"/>
          <w:szCs w:val="32"/>
          <w:u w:val="none"/>
          <w:lang w:val="en-US" w:eastAsia="zh-CN" w:bidi="ar-SA"/>
        </w:rPr>
        <w:t>积极落实取消审批、审批改备案、实行告知承诺、优化准入服务的各项措施。</w:t>
      </w:r>
      <w:r>
        <w:rPr>
          <w:rFonts w:ascii="Times New Roman" w:hAnsi="Times New Roman" w:eastAsia="仿宋_GB2312" w:cs="Times New Roman"/>
          <w:b/>
          <w:bCs/>
          <w:color w:val="auto"/>
          <w:sz w:val="32"/>
          <w:szCs w:val="32"/>
          <w:u w:val="none"/>
          <w:lang w:val="en-US" w:eastAsia="zh-CN" w:bidi="ar-SA"/>
        </w:rPr>
        <w:t>三是深入推进政务服务优化。</w:t>
      </w:r>
      <w:r>
        <w:rPr>
          <w:rFonts w:ascii="Times New Roman" w:hAnsi="Times New Roman" w:eastAsia="仿宋_GB2312" w:cs="Times New Roman"/>
          <w:color w:val="auto"/>
          <w:sz w:val="32"/>
          <w:szCs w:val="32"/>
          <w:u w:val="none"/>
          <w:lang w:val="en-US" w:eastAsia="zh-CN" w:bidi="ar-SA"/>
        </w:rPr>
        <w:t>全面推</w:t>
      </w:r>
      <w:r>
        <w:rPr>
          <w:rFonts w:ascii="Times New Roman" w:hAnsi="Times New Roman" w:eastAsia="仿宋_GB2312" w:cs="Times New Roman"/>
          <w:color w:val="auto"/>
          <w:sz w:val="32"/>
          <w:szCs w:val="32"/>
          <w:u w:val="none"/>
          <w:lang w:bidi="ar-SA"/>
        </w:rPr>
        <w:t>广政务服务APP，</w:t>
      </w:r>
      <w:r>
        <w:rPr>
          <w:rFonts w:ascii="Times New Roman" w:hAnsi="Times New Roman" w:eastAsia="仿宋_GB2312" w:cs="Times New Roman"/>
          <w:color w:val="auto"/>
          <w:spacing w:val="0"/>
          <w:kern w:val="2"/>
          <w:sz w:val="32"/>
          <w:szCs w:val="32"/>
          <w:u w:val="none"/>
          <w:lang w:val="en-US" w:eastAsia="zh-CN" w:bidi="ar-SA"/>
        </w:rPr>
        <w:t>加强统筹师团两级一体化平台有效运转，基本实现政务服务“一网通办”和群众办事“只进一扇门”“最多跑一次”。2023年</w:t>
      </w:r>
      <w:r>
        <w:rPr>
          <w:rFonts w:ascii="Times New Roman" w:hAnsi="Times New Roman" w:eastAsia="仿宋_GB2312" w:cs="Times New Roman"/>
          <w:color w:val="auto"/>
          <w:kern w:val="2"/>
          <w:sz w:val="32"/>
          <w:szCs w:val="32"/>
          <w:highlight w:val="none"/>
          <w:u w:val="none"/>
          <w:lang w:val="en-US" w:eastAsia="zh-CN" w:bidi="ar-SA"/>
        </w:rPr>
        <w:t>，师市共梳理发布业务办理</w:t>
      </w:r>
      <w:r>
        <w:rPr>
          <w:rFonts w:hint="eastAsia" w:cs="Times New Roman"/>
          <w:color w:val="auto"/>
          <w:kern w:val="2"/>
          <w:sz w:val="32"/>
          <w:szCs w:val="32"/>
          <w:highlight w:val="none"/>
          <w:u w:val="none"/>
          <w:lang w:val="en-US" w:eastAsia="zh-CN" w:bidi="ar-SA"/>
        </w:rPr>
        <w:t>事</w:t>
      </w:r>
      <w:r>
        <w:rPr>
          <w:rFonts w:ascii="Times New Roman" w:hAnsi="Times New Roman" w:eastAsia="仿宋_GB2312" w:cs="Times New Roman"/>
          <w:color w:val="auto"/>
          <w:kern w:val="2"/>
          <w:sz w:val="32"/>
          <w:szCs w:val="32"/>
          <w:highlight w:val="none"/>
          <w:u w:val="none"/>
          <w:lang w:val="en-US" w:eastAsia="zh-CN" w:bidi="ar-SA"/>
        </w:rPr>
        <w:t>项2542项</w:t>
      </w:r>
      <w:r>
        <w:rPr>
          <w:rFonts w:hint="eastAsia" w:cs="Times New Roman"/>
          <w:color w:val="auto"/>
          <w:kern w:val="2"/>
          <w:sz w:val="32"/>
          <w:szCs w:val="32"/>
          <w:highlight w:val="none"/>
          <w:u w:val="none"/>
          <w:lang w:val="en-US" w:eastAsia="zh-CN" w:bidi="ar-SA"/>
        </w:rPr>
        <w:t>，</w:t>
      </w:r>
      <w:r>
        <w:rPr>
          <w:rFonts w:ascii="Times New Roman" w:hAnsi="Times New Roman" w:eastAsia="仿宋_GB2312" w:cs="Times New Roman"/>
          <w:color w:val="auto"/>
          <w:kern w:val="2"/>
          <w:sz w:val="32"/>
          <w:szCs w:val="32"/>
          <w:highlight w:val="none"/>
          <w:u w:val="none"/>
          <w:lang w:val="en-US" w:eastAsia="zh-CN" w:bidi="ar-SA"/>
        </w:rPr>
        <w:t>“最多跑一次率”99.7%。</w:t>
      </w:r>
    </w:p>
    <w:p>
      <w:pPr>
        <w:keepNext w:val="0"/>
        <w:keepLines w:val="0"/>
        <w:pageBreakBefore w:val="0"/>
        <w:widowControl/>
        <w:kinsoku/>
        <w:wordWrap/>
        <w:overflowPunct/>
        <w:topLinePunct w:val="0"/>
        <w:autoSpaceDE/>
        <w:autoSpaceDN/>
        <w:bidi w:val="0"/>
        <w:spacing w:line="560" w:lineRule="exact"/>
        <w:ind w:firstLine="643" w:firstLineChars="200"/>
        <w:jc w:val="left"/>
        <w:textAlignment w:val="auto"/>
        <w:rPr>
          <w:rFonts w:ascii="Times New Roman" w:hAnsi="Times New Roman" w:eastAsia="仿宋_GB2312" w:cs="Times New Roman"/>
          <w:b/>
          <w:bCs/>
          <w:color w:val="auto"/>
          <w:kern w:val="2"/>
          <w:sz w:val="32"/>
          <w:szCs w:val="32"/>
          <w:highlight w:val="none"/>
          <w:u w:val="none"/>
          <w:lang w:val="en-US" w:eastAsia="zh-CN" w:bidi="ar-SA"/>
        </w:rPr>
      </w:pPr>
      <w:r>
        <w:rPr>
          <w:rFonts w:ascii="Times New Roman" w:hAnsi="Times New Roman" w:eastAsia="楷体_GB2312" w:cs="Times New Roman"/>
          <w:b/>
          <w:bCs/>
          <w:color w:val="auto"/>
          <w:kern w:val="2"/>
          <w:sz w:val="32"/>
          <w:szCs w:val="32"/>
          <w:highlight w:val="none"/>
          <w:u w:val="none"/>
          <w:lang w:val="en-US" w:eastAsia="zh-CN" w:bidi="ar-SA"/>
        </w:rPr>
        <w:t>（</w:t>
      </w:r>
      <w:r>
        <w:rPr>
          <w:rFonts w:hint="eastAsia" w:eastAsia="楷体_GB2312" w:cs="Times New Roman"/>
          <w:b/>
          <w:bCs/>
          <w:color w:val="auto"/>
          <w:kern w:val="2"/>
          <w:sz w:val="32"/>
          <w:szCs w:val="32"/>
          <w:highlight w:val="none"/>
          <w:u w:val="none"/>
          <w:lang w:val="en-US" w:eastAsia="zh-CN" w:bidi="ar-SA"/>
        </w:rPr>
        <w:t>二</w:t>
      </w:r>
      <w:r>
        <w:rPr>
          <w:rFonts w:ascii="Times New Roman" w:hAnsi="Times New Roman" w:eastAsia="楷体_GB2312" w:cs="Times New Roman"/>
          <w:b/>
          <w:bCs/>
          <w:color w:val="auto"/>
          <w:kern w:val="2"/>
          <w:sz w:val="32"/>
          <w:szCs w:val="32"/>
          <w:highlight w:val="none"/>
          <w:u w:val="none"/>
          <w:lang w:val="en-US" w:eastAsia="zh-CN" w:bidi="ar-SA"/>
        </w:rPr>
        <w:t>）依法推进行政决策科学化、民主化、法治化。</w:t>
      </w:r>
      <w:r>
        <w:rPr>
          <w:rFonts w:ascii="Times New Roman" w:hAnsi="Times New Roman" w:eastAsia="仿宋_GB2312" w:cs="Times New Roman"/>
          <w:b/>
          <w:bCs/>
          <w:color w:val="auto"/>
          <w:kern w:val="2"/>
          <w:sz w:val="32"/>
          <w:szCs w:val="32"/>
          <w:highlight w:val="none"/>
          <w:u w:val="none"/>
          <w:lang w:val="en-US" w:eastAsia="zh-CN" w:bidi="ar-SA"/>
        </w:rPr>
        <w:t>一是</w:t>
      </w:r>
      <w:r>
        <w:rPr>
          <w:rFonts w:ascii="Times New Roman" w:hAnsi="Times New Roman" w:eastAsia="仿宋_GB2312" w:cs="Times New Roman"/>
          <w:b/>
          <w:bCs/>
          <w:color w:val="auto"/>
          <w:sz w:val="32"/>
          <w:szCs w:val="32"/>
          <w:lang w:bidi="ar-SA"/>
        </w:rPr>
        <w:t>严格</w:t>
      </w:r>
      <w:r>
        <w:rPr>
          <w:rFonts w:ascii="Times New Roman" w:hAnsi="Times New Roman" w:eastAsia="仿宋_GB2312" w:cs="Times New Roman"/>
          <w:b/>
          <w:bCs/>
          <w:sz w:val="32"/>
          <w:szCs w:val="32"/>
          <w:lang w:bidi="ar-SA"/>
        </w:rPr>
        <w:t>落实重大行政决策程序</w:t>
      </w:r>
      <w:r>
        <w:rPr>
          <w:rFonts w:ascii="Times New Roman" w:hAnsi="Times New Roman" w:eastAsia="仿宋_GB2312" w:cs="Times New Roman"/>
          <w:b/>
          <w:bCs/>
          <w:sz w:val="32"/>
          <w:szCs w:val="32"/>
          <w:lang w:eastAsia="zh-CN" w:bidi="ar-SA"/>
        </w:rPr>
        <w:t>。</w:t>
      </w:r>
      <w:r>
        <w:rPr>
          <w:rFonts w:ascii="Times New Roman" w:hAnsi="Times New Roman" w:eastAsia="仿宋_GB2312" w:cs="Times New Roman"/>
          <w:sz w:val="32"/>
          <w:szCs w:val="32"/>
        </w:rPr>
        <w:t>把</w:t>
      </w:r>
      <w:r>
        <w:rPr>
          <w:rFonts w:ascii="Times New Roman" w:hAnsi="Times New Roman" w:eastAsia="仿宋_GB2312" w:cs="Times New Roman"/>
          <w:sz w:val="32"/>
          <w:szCs w:val="32"/>
          <w:lang w:eastAsia="zh-CN"/>
        </w:rPr>
        <w:t>公众参与、专家论证、风险评估、合法性审查、集体讨论决定</w:t>
      </w:r>
      <w:r>
        <w:rPr>
          <w:rFonts w:ascii="Times New Roman" w:hAnsi="Times New Roman" w:eastAsia="仿宋_GB2312" w:cs="Times New Roman"/>
          <w:sz w:val="32"/>
          <w:szCs w:val="32"/>
        </w:rPr>
        <w:t>作为重大行政决策的必经程序</w:t>
      </w:r>
      <w:r>
        <w:rPr>
          <w:rFonts w:ascii="Times New Roman" w:hAnsi="Times New Roman" w:eastAsia="仿宋_GB2312" w:cs="Times New Roman"/>
          <w:sz w:val="32"/>
          <w:szCs w:val="32"/>
          <w:lang w:eastAsia="zh-CN"/>
        </w:rPr>
        <w:t>，确保决定依法、科学、合理。</w:t>
      </w:r>
      <w:r>
        <w:rPr>
          <w:rFonts w:ascii="Times New Roman" w:hAnsi="Times New Roman" w:eastAsia="仿宋_GB2312" w:cs="Times New Roman"/>
          <w:sz w:val="32"/>
          <w:szCs w:val="32"/>
          <w:lang w:val="en-US" w:eastAsia="zh-CN"/>
        </w:rPr>
        <w:t>2023年，师市共对43件重大行政决策进行合法性审核</w:t>
      </w:r>
      <w:r>
        <w:rPr>
          <w:rFonts w:ascii="Times New Roman" w:hAnsi="Times New Roman" w:eastAsia="仿宋_GB2312" w:cs="Times New Roman"/>
          <w:sz w:val="32"/>
          <w:szCs w:val="32"/>
          <w:lang w:eastAsia="zh-CN"/>
        </w:rPr>
        <w:t>。</w:t>
      </w:r>
      <w:r>
        <w:rPr>
          <w:rFonts w:ascii="Times New Roman" w:hAnsi="Times New Roman" w:eastAsia="仿宋_GB2312" w:cs="Times New Roman"/>
          <w:b/>
          <w:bCs w:val="0"/>
          <w:sz w:val="32"/>
          <w:szCs w:val="32"/>
          <w:lang w:eastAsia="zh-CN" w:bidi="ar-SA"/>
        </w:rPr>
        <w:t>二是</w:t>
      </w:r>
      <w:r>
        <w:rPr>
          <w:rFonts w:ascii="Times New Roman" w:hAnsi="Times New Roman" w:eastAsia="仿宋_GB2312" w:cs="Times New Roman"/>
          <w:b/>
          <w:bCs w:val="0"/>
          <w:sz w:val="32"/>
          <w:szCs w:val="32"/>
          <w:lang w:bidi="ar-SA"/>
        </w:rPr>
        <w:t>全面做好行政规范性文件管理</w:t>
      </w:r>
      <w:r>
        <w:rPr>
          <w:rFonts w:ascii="Times New Roman" w:hAnsi="Times New Roman" w:eastAsia="仿宋_GB2312" w:cs="Times New Roman"/>
          <w:bCs/>
          <w:sz w:val="32"/>
          <w:szCs w:val="32"/>
          <w:lang w:eastAsia="zh-CN" w:bidi="ar-SA"/>
        </w:rPr>
        <w:t>。</w:t>
      </w:r>
      <w:r>
        <w:rPr>
          <w:rFonts w:ascii="Times New Roman" w:hAnsi="Times New Roman" w:eastAsia="仿宋_GB2312" w:cs="Times New Roman"/>
          <w:sz w:val="32"/>
          <w:szCs w:val="32"/>
        </w:rPr>
        <w:t>落实行政规范性文件合法性审核机制，</w:t>
      </w:r>
      <w:r>
        <w:rPr>
          <w:rFonts w:ascii="Times New Roman" w:hAnsi="Times New Roman" w:eastAsia="仿宋_GB2312" w:cs="Times New Roman"/>
          <w:sz w:val="32"/>
          <w:szCs w:val="32"/>
          <w:u w:val="none"/>
        </w:rPr>
        <w:t>202</w:t>
      </w:r>
      <w:r>
        <w:rPr>
          <w:rFonts w:ascii="Times New Roman" w:hAnsi="Times New Roman" w:eastAsia="仿宋_GB2312" w:cs="Times New Roman"/>
          <w:sz w:val="32"/>
          <w:szCs w:val="32"/>
          <w:u w:val="none"/>
          <w:lang w:val="en-US" w:eastAsia="zh-CN"/>
        </w:rPr>
        <w:t>3</w:t>
      </w:r>
      <w:r>
        <w:rPr>
          <w:rFonts w:ascii="Times New Roman" w:hAnsi="Times New Roman" w:eastAsia="仿宋_GB2312" w:cs="Times New Roman"/>
          <w:sz w:val="32"/>
          <w:szCs w:val="32"/>
          <w:u w:val="none"/>
        </w:rPr>
        <w:t>年，</w:t>
      </w:r>
      <w:r>
        <w:rPr>
          <w:rFonts w:ascii="Times New Roman" w:hAnsi="Times New Roman" w:eastAsia="仿宋_GB2312" w:cs="Times New Roman"/>
          <w:sz w:val="32"/>
          <w:szCs w:val="32"/>
          <w:lang w:val="en-US" w:eastAsia="zh-CN"/>
        </w:rPr>
        <w:t>师市共对</w:t>
      </w:r>
      <w:r>
        <w:rPr>
          <w:rFonts w:ascii="Times New Roman" w:hAnsi="Times New Roman" w:eastAsia="仿宋_GB2312" w:cs="Times New Roman"/>
          <w:sz w:val="32"/>
          <w:szCs w:val="32"/>
          <w:u w:val="none"/>
          <w:lang w:val="en-US" w:eastAsia="zh-CN"/>
        </w:rPr>
        <w:t>4</w:t>
      </w:r>
      <w:r>
        <w:rPr>
          <w:rFonts w:ascii="Times New Roman" w:hAnsi="Times New Roman" w:eastAsia="仿宋_GB2312" w:cs="Times New Roman"/>
          <w:sz w:val="32"/>
          <w:szCs w:val="32"/>
          <w:u w:val="none"/>
        </w:rPr>
        <w:t>件行政规范性文件进行合法性审查</w:t>
      </w:r>
      <w:r>
        <w:rPr>
          <w:rFonts w:hint="eastAsia" w:cs="Times New Roman"/>
          <w:sz w:val="32"/>
          <w:szCs w:val="32"/>
          <w:lang w:eastAsia="zh-CN"/>
        </w:rPr>
        <w:t>，</w:t>
      </w:r>
      <w:r>
        <w:rPr>
          <w:rFonts w:ascii="Times New Roman" w:hAnsi="Times New Roman" w:eastAsia="仿宋_GB2312" w:cs="Times New Roman"/>
          <w:sz w:val="32"/>
          <w:szCs w:val="32"/>
        </w:rPr>
        <w:t>定期开展行政规范性文件清理</w:t>
      </w:r>
      <w:r>
        <w:rPr>
          <w:rFonts w:ascii="Times New Roman" w:hAnsi="Times New Roman" w:eastAsia="仿宋_GB2312" w:cs="Times New Roman"/>
          <w:sz w:val="32"/>
          <w:szCs w:val="32"/>
          <w:lang w:eastAsia="zh-CN"/>
        </w:rPr>
        <w:t>，</w:t>
      </w:r>
      <w:r>
        <w:rPr>
          <w:rFonts w:ascii="Times New Roman" w:hAnsi="Times New Roman" w:cs="Times New Roman"/>
          <w:sz w:val="32"/>
          <w:szCs w:val="32"/>
          <w:lang w:eastAsia="zh-CN"/>
        </w:rPr>
        <w:t>对师市</w:t>
      </w:r>
      <w:r>
        <w:rPr>
          <w:rFonts w:ascii="Times New Roman" w:hAnsi="Times New Roman" w:cs="Times New Roman"/>
          <w:sz w:val="32"/>
          <w:szCs w:val="32"/>
          <w:lang w:val="en-US" w:eastAsia="zh-CN"/>
        </w:rPr>
        <w:t>制发的文件进行认真梳理，确认行政规范性文件5件，</w:t>
      </w:r>
      <w:r>
        <w:rPr>
          <w:rFonts w:ascii="Times New Roman" w:hAnsi="Times New Roman" w:eastAsia="仿宋_GB2312" w:cs="Times New Roman"/>
          <w:sz w:val="32"/>
          <w:szCs w:val="32"/>
          <w:lang w:val="en-US" w:eastAsia="zh-CN"/>
        </w:rPr>
        <w:t>已全部录入自治区法规规章规范性文件数据库。</w:t>
      </w:r>
      <w:r>
        <w:rPr>
          <w:rFonts w:ascii="Times New Roman" w:hAnsi="Times New Roman" w:eastAsia="仿宋_GB2312" w:cs="Times New Roman"/>
          <w:b/>
          <w:bCs/>
          <w:sz w:val="32"/>
          <w:szCs w:val="32"/>
          <w:lang w:eastAsia="zh-CN"/>
        </w:rPr>
        <w:t>三是</w:t>
      </w:r>
      <w:r>
        <w:rPr>
          <w:rFonts w:ascii="Times New Roman" w:hAnsi="Times New Roman" w:eastAsia="仿宋_GB2312" w:cs="Times New Roman"/>
          <w:b/>
          <w:bCs/>
          <w:sz w:val="32"/>
          <w:szCs w:val="32"/>
          <w:lang w:bidi="ar-SA"/>
        </w:rPr>
        <w:t>充分发挥法律顾问作用</w:t>
      </w:r>
      <w:r>
        <w:rPr>
          <w:rFonts w:ascii="Times New Roman" w:hAnsi="Times New Roman" w:eastAsia="仿宋_GB2312" w:cs="Times New Roman"/>
          <w:b/>
          <w:bCs/>
          <w:sz w:val="32"/>
          <w:szCs w:val="32"/>
          <w:lang w:eastAsia="zh-CN" w:bidi="ar-SA"/>
        </w:rPr>
        <w:t>。</w:t>
      </w:r>
      <w:r>
        <w:rPr>
          <w:rFonts w:ascii="Times New Roman" w:hAnsi="Times New Roman" w:eastAsia="仿宋_GB2312" w:cs="Times New Roman"/>
          <w:sz w:val="32"/>
          <w:szCs w:val="32"/>
          <w:lang w:eastAsia="zh-CN"/>
        </w:rPr>
        <w:t>师团连三级实现法律顾问全覆盖，</w:t>
      </w:r>
      <w:r>
        <w:rPr>
          <w:rFonts w:ascii="Times New Roman" w:hAnsi="Times New Roman" w:eastAsia="仿宋_GB2312" w:cs="Times New Roman"/>
          <w:sz w:val="32"/>
          <w:szCs w:val="32"/>
        </w:rPr>
        <w:t>注重听取法律顾问、公职律师或者有关专家的意见</w:t>
      </w:r>
      <w:r>
        <w:rPr>
          <w:rFonts w:ascii="Times New Roman" w:hAnsi="Times New Roman" w:eastAsia="仿宋_GB2312" w:cs="Times New Roman"/>
          <w:sz w:val="32"/>
          <w:szCs w:val="32"/>
          <w:lang w:eastAsia="zh-CN"/>
        </w:rPr>
        <w:t>，</w:t>
      </w:r>
      <w:r>
        <w:rPr>
          <w:rFonts w:ascii="Times New Roman" w:hAnsi="Times New Roman" w:eastAsia="仿宋_GB2312" w:cs="Times New Roman"/>
          <w:sz w:val="32"/>
          <w:szCs w:val="32"/>
          <w:lang w:val="en-US" w:eastAsia="zh-CN"/>
        </w:rPr>
        <w:t>2023年师市</w:t>
      </w:r>
      <w:r>
        <w:rPr>
          <w:rFonts w:ascii="Times New Roman" w:hAnsi="Times New Roman" w:eastAsia="仿宋_GB2312" w:cs="Times New Roman"/>
          <w:sz w:val="32"/>
          <w:szCs w:val="32"/>
          <w:u w:val="none"/>
        </w:rPr>
        <w:t>法律顾问出具法律意见书</w:t>
      </w:r>
      <w:r>
        <w:rPr>
          <w:rFonts w:ascii="Times New Roman" w:hAnsi="Times New Roman" w:eastAsia="仿宋_GB2312" w:cs="Times New Roman"/>
          <w:sz w:val="32"/>
          <w:szCs w:val="32"/>
          <w:u w:val="none"/>
          <w:lang w:val="en-US" w:eastAsia="zh-CN"/>
        </w:rPr>
        <w:t>280</w:t>
      </w:r>
      <w:r>
        <w:rPr>
          <w:rFonts w:ascii="Times New Roman" w:hAnsi="Times New Roman" w:eastAsia="仿宋_GB2312" w:cs="Times New Roman"/>
          <w:sz w:val="32"/>
          <w:szCs w:val="32"/>
          <w:u w:val="none"/>
        </w:rPr>
        <w:t>份</w:t>
      </w:r>
      <w:r>
        <w:rPr>
          <w:rFonts w:ascii="Times New Roman" w:hAnsi="Times New Roman" w:eastAsia="仿宋_GB2312" w:cs="Times New Roman"/>
          <w:sz w:val="32"/>
          <w:szCs w:val="32"/>
          <w:u w:val="none"/>
          <w:lang w:eastAsia="zh-CN"/>
        </w:rPr>
        <w:t>，</w:t>
      </w:r>
      <w:r>
        <w:rPr>
          <w:rFonts w:hint="eastAsia" w:cs="Times New Roman"/>
          <w:sz w:val="32"/>
          <w:szCs w:val="32"/>
          <w:u w:val="none"/>
          <w:lang w:eastAsia="zh-CN"/>
        </w:rPr>
        <w:t>为师市决策提供法律依据，</w:t>
      </w:r>
      <w:r>
        <w:rPr>
          <w:rFonts w:ascii="Times New Roman" w:hAnsi="Times New Roman" w:eastAsia="仿宋_GB2312" w:cs="Times New Roman"/>
          <w:sz w:val="32"/>
          <w:szCs w:val="32"/>
          <w:u w:val="none"/>
          <w:lang w:eastAsia="zh-CN"/>
        </w:rPr>
        <w:t>有效预防法律风险</w:t>
      </w:r>
      <w:r>
        <w:rPr>
          <w:rFonts w:ascii="Times New Roman" w:hAnsi="Times New Roman" w:eastAsia="仿宋_GB2312" w:cs="Times New Roman"/>
          <w:sz w:val="32"/>
          <w:szCs w:val="32"/>
          <w:u w:val="none"/>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2"/>
        <w:textAlignment w:val="auto"/>
        <w:rPr>
          <w:rFonts w:ascii="Times New Roman" w:hAnsi="Times New Roman" w:eastAsia="仿宋_GB2312" w:cs="Times New Roman"/>
          <w:color w:val="auto"/>
          <w:sz w:val="32"/>
          <w:szCs w:val="32"/>
          <w:lang w:val="en-US" w:eastAsia="zh-CN"/>
        </w:rPr>
      </w:pPr>
      <w:r>
        <w:rPr>
          <w:rFonts w:ascii="Times New Roman" w:hAnsi="Times New Roman" w:eastAsia="楷体_GB2312" w:cs="Times New Roman"/>
          <w:b/>
          <w:bCs/>
          <w:color w:val="auto"/>
          <w:sz w:val="32"/>
          <w:szCs w:val="32"/>
          <w:lang w:val="en-US" w:eastAsia="zh-CN" w:bidi="ar-SA"/>
        </w:rPr>
        <w:t>（</w:t>
      </w:r>
      <w:r>
        <w:rPr>
          <w:rFonts w:hint="eastAsia" w:eastAsia="楷体_GB2312" w:cs="Times New Roman"/>
          <w:b/>
          <w:bCs/>
          <w:color w:val="auto"/>
          <w:sz w:val="32"/>
          <w:szCs w:val="32"/>
          <w:lang w:val="en-US" w:eastAsia="zh-CN" w:bidi="ar-SA"/>
        </w:rPr>
        <w:t>三</w:t>
      </w:r>
      <w:r>
        <w:rPr>
          <w:rFonts w:ascii="Times New Roman" w:hAnsi="Times New Roman" w:eastAsia="楷体_GB2312" w:cs="Times New Roman"/>
          <w:b/>
          <w:bCs/>
          <w:color w:val="auto"/>
          <w:sz w:val="32"/>
          <w:szCs w:val="32"/>
          <w:lang w:val="en-US" w:eastAsia="zh-CN" w:bidi="ar-SA"/>
        </w:rPr>
        <w:t>）深入推进严格规范公正文明执法。</w:t>
      </w:r>
      <w:r>
        <w:rPr>
          <w:rFonts w:ascii="Times New Roman" w:hAnsi="Times New Roman" w:eastAsia="仿宋_GB2312" w:cs="Times New Roman"/>
          <w:b/>
          <w:bCs/>
          <w:color w:val="auto"/>
          <w:sz w:val="32"/>
          <w:szCs w:val="32"/>
          <w:lang w:val="en-US" w:eastAsia="zh-CN" w:bidi="ar-SA"/>
        </w:rPr>
        <w:t>一是</w:t>
      </w:r>
      <w:r>
        <w:rPr>
          <w:rFonts w:ascii="Times New Roman" w:hAnsi="Times New Roman" w:eastAsia="仿宋_GB2312" w:cs="Times New Roman"/>
          <w:b/>
          <w:bCs/>
          <w:color w:val="auto"/>
          <w:sz w:val="32"/>
          <w:szCs w:val="32"/>
          <w:lang w:eastAsia="zh-CN"/>
        </w:rPr>
        <w:t>持续</w:t>
      </w:r>
      <w:r>
        <w:rPr>
          <w:rFonts w:ascii="Times New Roman" w:hAnsi="Times New Roman" w:eastAsia="仿宋_GB2312" w:cs="Times New Roman"/>
          <w:b/>
          <w:bCs/>
          <w:color w:val="auto"/>
          <w:sz w:val="32"/>
          <w:szCs w:val="32"/>
        </w:rPr>
        <w:t>推行行政执法“三项制度”</w:t>
      </w:r>
      <w:r>
        <w:rPr>
          <w:rFonts w:ascii="Times New Roman" w:hAnsi="Times New Roman" w:eastAsia="仿宋_GB2312" w:cs="Times New Roman"/>
          <w:b/>
          <w:bCs/>
          <w:color w:val="auto"/>
          <w:sz w:val="32"/>
          <w:szCs w:val="32"/>
          <w:lang w:eastAsia="zh-CN"/>
        </w:rPr>
        <w:t>。</w:t>
      </w:r>
      <w:r>
        <w:rPr>
          <w:rFonts w:ascii="Times New Roman" w:hAnsi="Times New Roman" w:eastAsia="仿宋_GB2312" w:cs="Times New Roman"/>
          <w:color w:val="auto"/>
          <w:sz w:val="32"/>
          <w:szCs w:val="32"/>
          <w:lang w:val="en-US" w:eastAsia="zh-CN"/>
        </w:rPr>
        <w:t>印发《关于做好行政执法信息公开工作的通知》《关于推广应用全国行政应诉工作平台的通知》</w:t>
      </w:r>
      <w:r>
        <w:rPr>
          <w:rFonts w:ascii="Times New Roman" w:hAnsi="Times New Roman" w:eastAsia="仿宋_GB2312" w:cs="Times New Roman"/>
          <w:b w:val="0"/>
          <w:bCs w:val="0"/>
          <w:color w:val="auto"/>
          <w:sz w:val="32"/>
          <w:szCs w:val="32"/>
          <w:lang w:val="en-US" w:eastAsia="zh-CN"/>
        </w:rPr>
        <w:t>《关于进一步做好行政执法信息录入和统计的函》</w:t>
      </w:r>
      <w:r>
        <w:rPr>
          <w:rFonts w:ascii="Times New Roman" w:hAnsi="Times New Roman" w:eastAsia="仿宋_GB2312" w:cs="Times New Roman"/>
          <w:color w:val="auto"/>
          <w:sz w:val="32"/>
          <w:szCs w:val="32"/>
          <w:lang w:val="en-US" w:eastAsia="zh-CN"/>
        </w:rPr>
        <w:t>，组织师市各执法部门在师市政务网公布执法信息。</w:t>
      </w:r>
      <w:r>
        <w:rPr>
          <w:rFonts w:ascii="Times New Roman" w:hAnsi="Times New Roman" w:eastAsia="仿宋_GB2312" w:cs="Times New Roman"/>
          <w:b/>
          <w:bCs/>
          <w:sz w:val="32"/>
          <w:szCs w:val="32"/>
          <w:lang w:eastAsia="zh-CN"/>
        </w:rPr>
        <w:t>二是全面落实行政执法人员</w:t>
      </w:r>
      <w:r>
        <w:rPr>
          <w:rFonts w:ascii="Times New Roman" w:hAnsi="Times New Roman" w:eastAsia="仿宋_GB2312" w:cs="Times New Roman"/>
          <w:b/>
          <w:bCs/>
          <w:sz w:val="32"/>
          <w:szCs w:val="32"/>
        </w:rPr>
        <w:t>执法资格管理</w:t>
      </w:r>
      <w:r>
        <w:rPr>
          <w:rFonts w:ascii="Times New Roman" w:hAnsi="Times New Roman" w:eastAsia="仿宋_GB2312" w:cs="Times New Roman"/>
          <w:b/>
          <w:bCs/>
          <w:sz w:val="32"/>
          <w:szCs w:val="32"/>
          <w:lang w:eastAsia="zh-CN"/>
        </w:rPr>
        <w:t>制度。</w:t>
      </w:r>
      <w:r>
        <w:rPr>
          <w:rFonts w:ascii="Times New Roman" w:hAnsi="Times New Roman" w:eastAsia="仿宋_GB2312" w:cs="Times New Roman"/>
          <w:b w:val="0"/>
          <w:bCs w:val="0"/>
          <w:sz w:val="32"/>
          <w:szCs w:val="32"/>
          <w:lang w:val="en-US" w:eastAsia="zh-CN"/>
        </w:rPr>
        <w:t>2023年以来，共</w:t>
      </w:r>
      <w:r>
        <w:rPr>
          <w:rFonts w:ascii="Times New Roman" w:hAnsi="Times New Roman" w:eastAsia="仿宋_GB2312" w:cs="Times New Roman"/>
          <w:color w:val="auto"/>
          <w:sz w:val="32"/>
          <w:szCs w:val="32"/>
          <w:lang w:val="en-US" w:eastAsia="zh-CN"/>
        </w:rPr>
        <w:t>举办行政执法资格培训2期、考试4次，办理行政执法资格证件151个，严格</w:t>
      </w:r>
      <w:r>
        <w:rPr>
          <w:rFonts w:ascii="Times New Roman" w:hAnsi="Times New Roman" w:eastAsia="仿宋_GB2312" w:cs="Times New Roman"/>
          <w:sz w:val="32"/>
          <w:szCs w:val="32"/>
          <w:lang w:eastAsia="zh-CN"/>
        </w:rPr>
        <w:t>落实“持证上岗”制度，提高执法效率。</w:t>
      </w:r>
      <w:r>
        <w:rPr>
          <w:rFonts w:ascii="Times New Roman" w:hAnsi="Times New Roman" w:eastAsia="仿宋_GB2312" w:cs="Times New Roman"/>
          <w:b/>
          <w:bCs/>
          <w:sz w:val="32"/>
          <w:szCs w:val="32"/>
          <w:lang w:eastAsia="zh-CN"/>
        </w:rPr>
        <w:t>三是</w:t>
      </w:r>
      <w:r>
        <w:rPr>
          <w:rFonts w:ascii="Times New Roman" w:hAnsi="Times New Roman" w:eastAsia="仿宋_GB2312" w:cs="Times New Roman"/>
          <w:b/>
          <w:bCs/>
          <w:sz w:val="32"/>
          <w:szCs w:val="32"/>
        </w:rPr>
        <w:t>加大行政执法监督力度</w:t>
      </w:r>
      <w:r>
        <w:rPr>
          <w:rFonts w:ascii="Times New Roman" w:hAnsi="Times New Roman" w:eastAsia="仿宋_GB2312" w:cs="Times New Roman"/>
          <w:b/>
          <w:bCs/>
          <w:sz w:val="32"/>
          <w:szCs w:val="32"/>
          <w:lang w:eastAsia="zh-CN"/>
        </w:rPr>
        <w:t>。</w:t>
      </w:r>
      <w:r>
        <w:rPr>
          <w:rFonts w:ascii="Times New Roman" w:hAnsi="Times New Roman" w:eastAsia="仿宋_GB2312" w:cs="Times New Roman"/>
          <w:b w:val="0"/>
          <w:bCs w:val="0"/>
          <w:color w:val="auto"/>
          <w:sz w:val="32"/>
          <w:szCs w:val="32"/>
          <w:lang w:val="en-US" w:eastAsia="zh-CN"/>
        </w:rPr>
        <w:t>印发《关于开展行政执法案卷评查活</w:t>
      </w:r>
      <w:r>
        <w:rPr>
          <w:rFonts w:ascii="Times New Roman" w:hAnsi="Times New Roman" w:eastAsia="仿宋_GB2312" w:cs="Times New Roman"/>
          <w:color w:val="auto"/>
          <w:sz w:val="32"/>
          <w:szCs w:val="32"/>
          <w:lang w:val="en-US" w:eastAsia="zh-CN"/>
        </w:rPr>
        <w:t>动的通知》，对12个部门112本行政处罚案卷、34本行政许可案卷进行评查通报。</w:t>
      </w:r>
    </w:p>
    <w:p>
      <w:pPr>
        <w:keepNext w:val="0"/>
        <w:keepLines w:val="0"/>
        <w:pageBreakBefore w:val="0"/>
        <w:widowControl w:val="0"/>
        <w:kinsoku/>
        <w:wordWrap/>
        <w:overflowPunct/>
        <w:topLinePunct w:val="0"/>
        <w:autoSpaceDE/>
        <w:autoSpaceDN/>
        <w:bidi w:val="0"/>
        <w:adjustRightInd w:val="0"/>
        <w:snapToGrid w:val="0"/>
        <w:spacing w:line="560" w:lineRule="exact"/>
        <w:ind w:firstLine="642"/>
        <w:textAlignment w:val="auto"/>
        <w:rPr>
          <w:rFonts w:ascii="Times New Roman" w:hAnsi="Times New Roman" w:eastAsia="仿宋_GB2312" w:cs="Times New Roman"/>
          <w:sz w:val="32"/>
          <w:szCs w:val="32"/>
          <w:lang w:eastAsia="zh-CN"/>
        </w:rPr>
      </w:pPr>
      <w:r>
        <w:rPr>
          <w:rFonts w:ascii="Times New Roman" w:hAnsi="Times New Roman" w:eastAsia="楷体_GB2312" w:cs="Times New Roman"/>
          <w:b/>
          <w:bCs/>
          <w:color w:val="auto"/>
          <w:sz w:val="32"/>
          <w:szCs w:val="32"/>
          <w:lang w:val="en-US" w:eastAsia="zh-CN" w:bidi="ar-SA"/>
        </w:rPr>
        <w:t>（</w:t>
      </w:r>
      <w:r>
        <w:rPr>
          <w:rFonts w:hint="eastAsia" w:eastAsia="楷体_GB2312" w:cs="Times New Roman"/>
          <w:b/>
          <w:bCs/>
          <w:color w:val="auto"/>
          <w:sz w:val="32"/>
          <w:szCs w:val="32"/>
          <w:lang w:val="en-US" w:eastAsia="zh-CN" w:bidi="ar-SA"/>
        </w:rPr>
        <w:t>四</w:t>
      </w:r>
      <w:r>
        <w:rPr>
          <w:rFonts w:ascii="Times New Roman" w:hAnsi="Times New Roman" w:eastAsia="楷体_GB2312" w:cs="Times New Roman"/>
          <w:b/>
          <w:bCs/>
          <w:color w:val="auto"/>
          <w:sz w:val="32"/>
          <w:szCs w:val="32"/>
          <w:lang w:val="en-US" w:eastAsia="zh-CN" w:bidi="ar-SA"/>
        </w:rPr>
        <w:t>）加强矛盾纠纷行政预防调处化解。</w:t>
      </w:r>
      <w:r>
        <w:rPr>
          <w:rFonts w:ascii="Times New Roman" w:hAnsi="Times New Roman" w:eastAsia="仿宋_GB2312" w:cs="Times New Roman"/>
          <w:b/>
          <w:bCs/>
          <w:color w:val="auto"/>
          <w:sz w:val="32"/>
          <w:szCs w:val="32"/>
          <w:lang w:eastAsia="zh-CN"/>
        </w:rPr>
        <w:t>一</w:t>
      </w:r>
      <w:r>
        <w:rPr>
          <w:rFonts w:ascii="Times New Roman" w:hAnsi="Times New Roman" w:eastAsia="仿宋_GB2312" w:cs="Times New Roman"/>
          <w:b/>
          <w:bCs/>
          <w:sz w:val="32"/>
          <w:szCs w:val="32"/>
          <w:lang w:eastAsia="zh-CN"/>
        </w:rPr>
        <w:t>是加强调解工作。</w:t>
      </w:r>
      <w:r>
        <w:rPr>
          <w:rFonts w:ascii="Times New Roman" w:hAnsi="Times New Roman" w:eastAsia="仿宋_GB2312" w:cs="Times New Roman"/>
          <w:b w:val="0"/>
          <w:bCs w:val="0"/>
          <w:sz w:val="32"/>
          <w:szCs w:val="32"/>
          <w:lang w:eastAsia="zh-CN"/>
        </w:rPr>
        <w:t>坚持“三调”联动，推进行政调解与人民调解、司法调解有效衔接</w:t>
      </w:r>
      <w:r>
        <w:rPr>
          <w:rFonts w:ascii="Times New Roman" w:hAnsi="Times New Roman" w:eastAsia="仿宋_GB2312" w:cs="Times New Roman"/>
          <w:b w:val="0"/>
          <w:bCs w:val="0"/>
          <w:color w:val="7030A0"/>
          <w:sz w:val="32"/>
          <w:szCs w:val="32"/>
          <w:lang w:eastAsia="zh-CN"/>
        </w:rPr>
        <w:t>。</w:t>
      </w:r>
      <w:r>
        <w:rPr>
          <w:rFonts w:ascii="Times New Roman" w:hAnsi="Times New Roman" w:eastAsia="仿宋_GB2312" w:cs="Times New Roman"/>
          <w:b w:val="0"/>
          <w:bCs w:val="0"/>
          <w:color w:val="auto"/>
          <w:sz w:val="32"/>
          <w:szCs w:val="32"/>
          <w:lang w:val="en-US" w:eastAsia="zh-CN"/>
        </w:rPr>
        <w:t>2023年</w:t>
      </w:r>
      <w:r>
        <w:rPr>
          <w:rFonts w:ascii="Times New Roman" w:hAnsi="Times New Roman" w:eastAsia="仿宋_GB2312" w:cs="Times New Roman"/>
          <w:bCs/>
          <w:sz w:val="32"/>
          <w:szCs w:val="32"/>
          <w:shd w:val="clear" w:color="auto" w:fill="auto"/>
        </w:rPr>
        <w:t>化解各类矛盾纠纷2205件4195.95万元、涉及职工群众5042人</w:t>
      </w:r>
      <w:r>
        <w:rPr>
          <w:rFonts w:ascii="Times New Roman" w:hAnsi="Times New Roman" w:eastAsia="仿宋_GB2312" w:cs="Times New Roman"/>
          <w:b w:val="0"/>
          <w:bCs w:val="0"/>
          <w:color w:val="auto"/>
          <w:sz w:val="32"/>
          <w:szCs w:val="32"/>
          <w:lang w:val="en-US" w:eastAsia="zh-CN"/>
        </w:rPr>
        <w:t>，案件调解成功率99.</w:t>
      </w:r>
      <w:r>
        <w:rPr>
          <w:rFonts w:ascii="Times New Roman" w:hAnsi="Times New Roman" w:cs="Times New Roman"/>
          <w:b w:val="0"/>
          <w:bCs w:val="0"/>
          <w:color w:val="auto"/>
          <w:sz w:val="32"/>
          <w:szCs w:val="32"/>
          <w:lang w:val="en-US" w:eastAsia="zh-CN"/>
        </w:rPr>
        <w:t>8</w:t>
      </w:r>
      <w:r>
        <w:rPr>
          <w:rFonts w:ascii="Times New Roman" w:hAnsi="Times New Roman" w:eastAsia="仿宋_GB2312" w:cs="Times New Roman"/>
          <w:b w:val="0"/>
          <w:bCs w:val="0"/>
          <w:color w:val="auto"/>
          <w:sz w:val="32"/>
          <w:szCs w:val="32"/>
          <w:lang w:val="en-US" w:eastAsia="zh-CN"/>
        </w:rPr>
        <w:t>%。</w:t>
      </w:r>
      <w:r>
        <w:rPr>
          <w:rFonts w:ascii="Times New Roman" w:hAnsi="Times New Roman" w:eastAsia="仿宋_GB2312" w:cs="Times New Roman"/>
          <w:b/>
          <w:bCs/>
          <w:sz w:val="32"/>
          <w:szCs w:val="32"/>
          <w:lang w:val="en-US" w:eastAsia="zh-CN"/>
        </w:rPr>
        <w:t>二是发挥行政复议化解争议的主渠道作用。</w:t>
      </w:r>
      <w:r>
        <w:rPr>
          <w:rFonts w:ascii="Times New Roman" w:hAnsi="Times New Roman" w:eastAsia="仿宋_GB2312" w:cs="Times New Roman"/>
          <w:sz w:val="32"/>
          <w:szCs w:val="32"/>
          <w:lang w:eastAsia="zh-CN"/>
        </w:rPr>
        <w:t>按照新修订行政复议法要求，加强人员配备和业务培训，</w:t>
      </w:r>
      <w:r>
        <w:rPr>
          <w:rFonts w:ascii="Times New Roman" w:hAnsi="Times New Roman" w:eastAsia="仿宋_GB2312" w:cs="Times New Roman"/>
          <w:sz w:val="32"/>
          <w:szCs w:val="32"/>
          <w:lang w:val="en-US" w:eastAsia="zh-CN"/>
        </w:rPr>
        <w:t>2023年办理行政复议案件4件</w:t>
      </w:r>
      <w:r>
        <w:rPr>
          <w:rFonts w:ascii="Times New Roman" w:hAnsi="Times New Roman" w:eastAsia="仿宋_GB2312" w:cs="Times New Roman"/>
          <w:sz w:val="32"/>
          <w:szCs w:val="32"/>
          <w:lang w:eastAsia="zh-CN"/>
        </w:rPr>
        <w:t>，</w:t>
      </w:r>
      <w:r>
        <w:rPr>
          <w:rFonts w:hint="eastAsia" w:cs="Times New Roman"/>
          <w:sz w:val="32"/>
          <w:szCs w:val="32"/>
          <w:lang w:eastAsia="zh-CN"/>
        </w:rPr>
        <w:t>行政纠纷得到有效化解。</w:t>
      </w:r>
      <w:r>
        <w:rPr>
          <w:rFonts w:ascii="Times New Roman" w:hAnsi="Times New Roman" w:eastAsia="仿宋_GB2312" w:cs="Times New Roman"/>
          <w:b/>
          <w:bCs/>
          <w:sz w:val="32"/>
          <w:szCs w:val="32"/>
          <w:lang w:eastAsia="zh-CN"/>
        </w:rPr>
        <w:t>三是加强和规范行政应诉水平。</w:t>
      </w:r>
      <w:r>
        <w:rPr>
          <w:rFonts w:ascii="Times New Roman" w:hAnsi="Times New Roman" w:eastAsia="仿宋_GB2312" w:cs="Times New Roman"/>
          <w:sz w:val="32"/>
          <w:szCs w:val="32"/>
          <w:lang w:eastAsia="zh-CN"/>
        </w:rPr>
        <w:t>组织现场旁听行政诉讼案件活动，落实行政机关负责人出庭应诉制度，师市行政机关负责人出庭应诉率100%。</w:t>
      </w:r>
    </w:p>
    <w:p>
      <w:pPr>
        <w:pStyle w:val="4"/>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Times New Roman" w:hAnsi="Times New Roman" w:cs="Times New Roman"/>
          <w:color w:val="auto"/>
          <w:sz w:val="32"/>
          <w:szCs w:val="32"/>
          <w:lang w:eastAsia="zh-CN"/>
        </w:rPr>
      </w:pPr>
      <w:r>
        <w:rPr>
          <w:rFonts w:ascii="Times New Roman" w:hAnsi="Times New Roman" w:eastAsia="楷体_GB2312" w:cs="Times New Roman"/>
          <w:b/>
          <w:bCs/>
          <w:sz w:val="32"/>
          <w:szCs w:val="32"/>
          <w:lang w:eastAsia="zh-CN"/>
        </w:rPr>
        <w:t>（</w:t>
      </w:r>
      <w:r>
        <w:rPr>
          <w:rFonts w:hint="eastAsia" w:ascii="Times New Roman" w:eastAsia="楷体_GB2312" w:cs="Times New Roman"/>
          <w:b/>
          <w:bCs/>
          <w:sz w:val="32"/>
          <w:szCs w:val="32"/>
          <w:lang w:eastAsia="zh-CN"/>
        </w:rPr>
        <w:t>五</w:t>
      </w:r>
      <w:r>
        <w:rPr>
          <w:rFonts w:ascii="Times New Roman" w:hAnsi="Times New Roman" w:eastAsia="楷体_GB2312" w:cs="Times New Roman"/>
          <w:b/>
          <w:bCs/>
          <w:sz w:val="32"/>
          <w:szCs w:val="32"/>
          <w:lang w:eastAsia="zh-CN"/>
        </w:rPr>
        <w:t>）全面主动落实政务公开和监督制约能力。</w:t>
      </w:r>
      <w:r>
        <w:rPr>
          <w:rFonts w:ascii="Times New Roman" w:hAnsi="Times New Roman" w:eastAsia="仿宋_GB2312" w:cs="Times New Roman"/>
          <w:b/>
          <w:bCs/>
          <w:color w:val="auto"/>
          <w:sz w:val="32"/>
          <w:szCs w:val="32"/>
          <w:u w:val="none"/>
          <w:lang w:val="en-US" w:eastAsia="zh-CN" w:bidi="ar-SA"/>
        </w:rPr>
        <w:t>一是不断增强政务公开实效。</w:t>
      </w:r>
      <w:r>
        <w:rPr>
          <w:rFonts w:ascii="Times New Roman" w:hAnsi="Times New Roman" w:eastAsia="仿宋_GB2312" w:cs="Times New Roman"/>
          <w:color w:val="auto"/>
          <w:sz w:val="32"/>
          <w:szCs w:val="32"/>
          <w:u w:val="none"/>
          <w:lang w:val="en-US" w:eastAsia="zh-CN" w:bidi="ar-SA"/>
        </w:rPr>
        <w:t>坚持公开为常态、不公开为例外，依法、及时、全面、准确、具体向社会公开优化营商环境等重点领域政策措施。</w:t>
      </w:r>
      <w:r>
        <w:rPr>
          <w:rFonts w:ascii="Times New Roman" w:hAnsi="Times New Roman" w:eastAsia="仿宋_GB2312" w:cs="Times New Roman"/>
          <w:color w:val="auto"/>
          <w:sz w:val="32"/>
          <w:szCs w:val="32"/>
          <w:u w:val="none"/>
          <w:lang w:val="en-US" w:eastAsia="zh-CN"/>
        </w:rPr>
        <w:t>2023年，师市政府门户网站共发布信息4787条</w:t>
      </w:r>
      <w:r>
        <w:rPr>
          <w:rFonts w:ascii="Times New Roman" w:hAnsi="Times New Roman" w:eastAsia="仿宋_GB2312" w:cs="Times New Roman"/>
          <w:color w:val="000000"/>
          <w:sz w:val="32"/>
          <w:szCs w:val="32"/>
          <w:u w:val="none"/>
          <w:lang w:bidi="ar-SA"/>
        </w:rPr>
        <w:t>。</w:t>
      </w:r>
      <w:r>
        <w:rPr>
          <w:rFonts w:ascii="Times New Roman" w:hAnsi="Times New Roman" w:eastAsia="仿宋_GB2312" w:cs="Times New Roman"/>
          <w:b/>
          <w:bCs/>
          <w:color w:val="auto"/>
          <w:sz w:val="32"/>
          <w:szCs w:val="32"/>
          <w:u w:val="none"/>
          <w:lang w:val="en-US" w:eastAsia="zh-CN" w:bidi="ar-SA"/>
        </w:rPr>
        <w:t>二是不断加强政务诚信建设。</w:t>
      </w:r>
      <w:r>
        <w:rPr>
          <w:rFonts w:ascii="Times New Roman" w:hAnsi="Times New Roman" w:eastAsia="仿宋_GB2312" w:cs="Times New Roman"/>
          <w:sz w:val="32"/>
          <w:szCs w:val="32"/>
          <w:u w:val="none"/>
          <w:lang w:val="en-US" w:eastAsia="zh-CN" w:bidi="ar-SA"/>
        </w:rPr>
        <w:t>推行企业信用分类监管，建立健全失信企业联合惩戒机制，加大失信惩戒力度，持续做好信用中国“双公示”工作</w:t>
      </w:r>
      <w:r>
        <w:rPr>
          <w:rFonts w:ascii="Times New Roman" w:hAnsi="Times New Roman" w:eastAsia="仿宋_GB2312" w:cs="Times New Roman"/>
          <w:sz w:val="32"/>
          <w:szCs w:val="32"/>
          <w:u w:val="none"/>
          <w:lang w:bidi="ar-SA"/>
        </w:rPr>
        <w:t>。</w:t>
      </w:r>
      <w:r>
        <w:rPr>
          <w:rFonts w:ascii="Times New Roman" w:hAnsi="Times New Roman" w:eastAsia="仿宋_GB2312" w:cs="Times New Roman"/>
          <w:sz w:val="32"/>
          <w:szCs w:val="32"/>
          <w:u w:val="none"/>
          <w:lang w:val="en-US" w:eastAsia="zh-CN"/>
        </w:rPr>
        <w:t>2023年</w:t>
      </w:r>
      <w:r>
        <w:rPr>
          <w:rFonts w:ascii="Times New Roman" w:hAnsi="Times New Roman" w:eastAsia="仿宋_GB2312" w:cs="Times New Roman"/>
          <w:sz w:val="32"/>
          <w:szCs w:val="32"/>
          <w:u w:val="none"/>
        </w:rPr>
        <w:t>师市部门</w:t>
      </w:r>
      <w:r>
        <w:rPr>
          <w:rFonts w:ascii="Times New Roman" w:hAnsi="Times New Roman" w:eastAsia="仿宋_GB2312" w:cs="Times New Roman"/>
          <w:color w:val="000000"/>
          <w:sz w:val="32"/>
          <w:szCs w:val="32"/>
          <w:u w:val="none"/>
        </w:rPr>
        <w:t>通过兵团信用信息共享平台上传信息</w:t>
      </w:r>
      <w:r>
        <w:rPr>
          <w:rFonts w:ascii="Times New Roman" w:hAnsi="Times New Roman" w:eastAsia="仿宋_GB2312" w:cs="Times New Roman"/>
          <w:color w:val="auto"/>
          <w:sz w:val="32"/>
          <w:szCs w:val="32"/>
          <w:u w:val="none"/>
          <w:lang w:val="en-US" w:eastAsia="zh-CN"/>
        </w:rPr>
        <w:t>公示</w:t>
      </w:r>
      <w:r>
        <w:rPr>
          <w:rFonts w:ascii="Times New Roman" w:hAnsi="Times New Roman" w:eastAsia="仿宋_GB2312" w:cs="Times New Roman"/>
          <w:color w:val="auto"/>
          <w:sz w:val="32"/>
          <w:szCs w:val="32"/>
          <w:u w:val="none"/>
        </w:rPr>
        <w:t>6397条</w:t>
      </w:r>
      <w:r>
        <w:rPr>
          <w:rFonts w:ascii="Times New Roman" w:hAnsi="Times New Roman" w:eastAsia="仿宋_GB2312" w:cs="Times New Roman"/>
          <w:color w:val="auto"/>
          <w:sz w:val="32"/>
          <w:szCs w:val="32"/>
          <w:u w:val="none"/>
          <w:lang w:eastAsia="zh-CN"/>
        </w:rPr>
        <w:t>。</w:t>
      </w:r>
      <w:r>
        <w:rPr>
          <w:rFonts w:ascii="Times New Roman" w:hAnsi="Times New Roman" w:eastAsia="仿宋_GB2312" w:cs="Times New Roman"/>
          <w:b/>
          <w:bCs/>
          <w:color w:val="auto"/>
          <w:sz w:val="32"/>
          <w:szCs w:val="32"/>
          <w:u w:val="none"/>
          <w:lang w:eastAsia="zh-CN"/>
        </w:rPr>
        <w:t>三是不断规范政府督查工作。</w:t>
      </w:r>
      <w:r>
        <w:rPr>
          <w:rFonts w:ascii="Times New Roman" w:hAnsi="Times New Roman" w:eastAsia="仿宋_GB2312" w:cs="Times New Roman"/>
          <w:b w:val="0"/>
          <w:bCs w:val="0"/>
          <w:color w:val="auto"/>
          <w:sz w:val="32"/>
          <w:szCs w:val="32"/>
          <w:u w:val="none"/>
          <w:lang w:eastAsia="zh-CN"/>
        </w:rPr>
        <w:t>开展政府督查</w:t>
      </w:r>
      <w:r>
        <w:rPr>
          <w:rFonts w:ascii="Times New Roman" w:hAnsi="Times New Roman" w:eastAsia="仿宋_GB2312" w:cs="Times New Roman"/>
          <w:b w:val="0"/>
          <w:bCs w:val="0"/>
          <w:color w:val="auto"/>
          <w:sz w:val="32"/>
          <w:szCs w:val="32"/>
          <w:u w:val="none"/>
          <w:lang w:val="en-US" w:eastAsia="zh-CN"/>
        </w:rPr>
        <w:t>6次，</w:t>
      </w:r>
      <w:r>
        <w:rPr>
          <w:rFonts w:ascii="Times New Roman" w:hAnsi="Times New Roman" w:eastAsia="仿宋_GB2312" w:cs="Times New Roman"/>
          <w:color w:val="auto"/>
          <w:sz w:val="32"/>
          <w:szCs w:val="32"/>
        </w:rPr>
        <w:t>督办落实兵团督查室转办人民网群众留言涉及师市事项12项</w:t>
      </w:r>
      <w:r>
        <w:rPr>
          <w:rFonts w:ascii="Times New Roman" w:hAnsi="Times New Roman" w:eastAsia="仿宋_GB2312" w:cs="Times New Roman"/>
          <w:bCs/>
          <w:color w:val="auto"/>
          <w:sz w:val="32"/>
          <w:szCs w:val="32"/>
        </w:rPr>
        <w:t>，</w:t>
      </w:r>
      <w:r>
        <w:rPr>
          <w:rFonts w:hint="eastAsia" w:ascii="Times New Roman" w:eastAsia="仿宋_GB2312" w:cs="Times New Roman"/>
          <w:bCs/>
          <w:color w:val="auto"/>
          <w:sz w:val="32"/>
          <w:szCs w:val="32"/>
          <w:lang w:eastAsia="zh-CN"/>
        </w:rPr>
        <w:t>对人大建议、政协提案办理工作进行督查，</w:t>
      </w:r>
      <w:r>
        <w:rPr>
          <w:rFonts w:ascii="Times New Roman" w:hAnsi="Times New Roman" w:eastAsia="仿宋_GB2312" w:cs="Times New Roman"/>
          <w:b w:val="0"/>
          <w:bCs w:val="0"/>
          <w:color w:val="auto"/>
          <w:sz w:val="32"/>
          <w:szCs w:val="32"/>
          <w:u w:val="none"/>
          <w:lang w:val="en-US" w:eastAsia="zh-CN"/>
        </w:rPr>
        <w:t>有效推动师市各项工作部署“事事有回音、件件有落实”。</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3" w:firstLineChars="200"/>
        <w:textAlignment w:val="auto"/>
        <w:rPr>
          <w:rFonts w:ascii="Times New Roman" w:hAnsi="Times New Roman" w:eastAsia="仿宋_GB2312" w:cs="Times New Roman"/>
          <w:color w:val="auto"/>
          <w:sz w:val="32"/>
          <w:szCs w:val="32"/>
          <w:lang w:val="en-US" w:eastAsia="zh-CN" w:bidi="ar-SA"/>
        </w:rPr>
      </w:pPr>
      <w:r>
        <w:rPr>
          <w:rFonts w:ascii="Times New Roman" w:hAnsi="Times New Roman" w:eastAsia="楷体_GB2312" w:cs="Times New Roman"/>
          <w:b/>
          <w:bCs/>
          <w:sz w:val="32"/>
          <w:szCs w:val="32"/>
          <w:lang w:eastAsia="zh-CN" w:bidi="ar-SA"/>
        </w:rPr>
        <w:t>（</w:t>
      </w:r>
      <w:r>
        <w:rPr>
          <w:rFonts w:hint="eastAsia" w:eastAsia="楷体_GB2312" w:cs="Times New Roman"/>
          <w:b/>
          <w:bCs/>
          <w:sz w:val="32"/>
          <w:szCs w:val="32"/>
          <w:lang w:eastAsia="zh-CN" w:bidi="ar-SA"/>
        </w:rPr>
        <w:t>六</w:t>
      </w:r>
      <w:r>
        <w:rPr>
          <w:rFonts w:ascii="Times New Roman" w:hAnsi="Times New Roman" w:eastAsia="楷体_GB2312" w:cs="Times New Roman"/>
          <w:b/>
          <w:bCs/>
          <w:sz w:val="32"/>
          <w:szCs w:val="32"/>
          <w:lang w:eastAsia="zh-CN" w:bidi="ar-SA"/>
        </w:rPr>
        <w:t>）有序开展公共法律服务体系建设。</w:t>
      </w:r>
      <w:r>
        <w:rPr>
          <w:rFonts w:ascii="Times New Roman" w:hAnsi="Times New Roman" w:eastAsia="仿宋_GB2312" w:cs="Times New Roman"/>
          <w:b/>
          <w:sz w:val="32"/>
          <w:szCs w:val="32"/>
          <w:lang w:val="en-US" w:eastAsia="zh-CN" w:bidi="ar-SA"/>
        </w:rPr>
        <w:t>一是完善</w:t>
      </w:r>
      <w:r>
        <w:rPr>
          <w:rFonts w:ascii="Times New Roman" w:hAnsi="Times New Roman" w:eastAsia="仿宋_GB2312" w:cs="Times New Roman"/>
          <w:b/>
          <w:sz w:val="32"/>
          <w:szCs w:val="32"/>
          <w:lang w:bidi="ar-SA"/>
        </w:rPr>
        <w:t>公共法律服务</w:t>
      </w:r>
      <w:r>
        <w:rPr>
          <w:rFonts w:ascii="Times New Roman" w:hAnsi="Times New Roman" w:eastAsia="仿宋_GB2312" w:cs="Times New Roman"/>
          <w:b/>
          <w:sz w:val="32"/>
          <w:szCs w:val="32"/>
          <w:lang w:eastAsia="zh-CN" w:bidi="ar-SA"/>
        </w:rPr>
        <w:t>“三大平台”。</w:t>
      </w:r>
      <w:r>
        <w:rPr>
          <w:rFonts w:ascii="Times New Roman" w:hAnsi="Times New Roman" w:eastAsia="仿宋_GB2312" w:cs="Times New Roman"/>
          <w:bCs/>
          <w:sz w:val="32"/>
          <w:szCs w:val="32"/>
          <w:lang w:eastAsia="zh-CN"/>
        </w:rPr>
        <w:t>建成</w:t>
      </w:r>
      <w:r>
        <w:rPr>
          <w:rFonts w:ascii="Times New Roman" w:hAnsi="Times New Roman" w:eastAsia="仿宋_GB2312" w:cs="Times New Roman"/>
          <w:bCs/>
          <w:color w:val="auto"/>
          <w:sz w:val="32"/>
          <w:szCs w:val="32"/>
          <w:lang w:val="en-US" w:eastAsia="zh-CN" w:bidi="ar-SA"/>
        </w:rPr>
        <w:t>公共法律服务中心1个、</w:t>
      </w:r>
      <w:r>
        <w:rPr>
          <w:rFonts w:ascii="Times New Roman" w:hAnsi="Times New Roman" w:cs="Times New Roman"/>
          <w:bCs/>
          <w:color w:val="auto"/>
          <w:sz w:val="32"/>
          <w:szCs w:val="32"/>
          <w:lang w:val="en-US" w:eastAsia="zh-CN" w:bidi="ar-SA"/>
        </w:rPr>
        <w:t>团场</w:t>
      </w:r>
      <w:r>
        <w:rPr>
          <w:rFonts w:ascii="Times New Roman" w:hAnsi="Times New Roman" w:eastAsia="仿宋_GB2312" w:cs="Times New Roman"/>
          <w:bCs/>
          <w:color w:val="auto"/>
          <w:sz w:val="32"/>
          <w:szCs w:val="32"/>
          <w:lang w:val="en-US" w:eastAsia="zh-CN" w:bidi="ar-SA"/>
        </w:rPr>
        <w:t>公共法律服务工作站5个、</w:t>
      </w:r>
      <w:r>
        <w:rPr>
          <w:rFonts w:ascii="Times New Roman" w:hAnsi="Times New Roman" w:cs="Times New Roman"/>
          <w:bCs/>
          <w:color w:val="auto"/>
          <w:sz w:val="32"/>
          <w:szCs w:val="32"/>
          <w:lang w:val="en-US" w:eastAsia="zh-CN" w:bidi="ar-SA"/>
        </w:rPr>
        <w:t>连队（社区）</w:t>
      </w:r>
      <w:r>
        <w:rPr>
          <w:rFonts w:ascii="Times New Roman" w:hAnsi="Times New Roman" w:eastAsia="仿宋_GB2312" w:cs="Times New Roman"/>
          <w:bCs/>
          <w:color w:val="auto"/>
          <w:sz w:val="32"/>
          <w:szCs w:val="32"/>
          <w:lang w:val="en-US" w:eastAsia="zh-CN" w:bidi="ar-SA"/>
        </w:rPr>
        <w:t>公共法律服务工作室48个，实现师团连三级实体平台全覆盖。</w:t>
      </w:r>
      <w:r>
        <w:rPr>
          <w:rFonts w:ascii="Times New Roman" w:hAnsi="Times New Roman" w:cs="Times New Roman"/>
          <w:bCs/>
          <w:color w:val="auto"/>
          <w:kern w:val="2"/>
          <w:sz w:val="32"/>
          <w:szCs w:val="32"/>
          <w:lang w:val="en-US" w:eastAsia="zh-CN" w:bidi="ar-SA"/>
        </w:rPr>
        <w:t>畅通</w:t>
      </w:r>
      <w:r>
        <w:rPr>
          <w:rFonts w:ascii="Times New Roman" w:hAnsi="Times New Roman" w:eastAsia="仿宋_GB2312" w:cs="Times New Roman"/>
          <w:bCs/>
          <w:color w:val="auto"/>
          <w:kern w:val="2"/>
          <w:sz w:val="32"/>
          <w:szCs w:val="32"/>
          <w:lang w:val="en-US" w:eastAsia="zh-CN" w:bidi="ar-SA"/>
        </w:rPr>
        <w:t>“12348”热线</w:t>
      </w:r>
      <w:r>
        <w:rPr>
          <w:rFonts w:ascii="Times New Roman" w:hAnsi="Times New Roman" w:cs="Times New Roman"/>
          <w:bCs/>
          <w:color w:val="auto"/>
          <w:kern w:val="2"/>
          <w:sz w:val="32"/>
          <w:szCs w:val="32"/>
          <w:lang w:val="en-US" w:eastAsia="zh-CN" w:bidi="ar-SA"/>
        </w:rPr>
        <w:t>平台、实体平台、</w:t>
      </w:r>
      <w:r>
        <w:rPr>
          <w:rFonts w:ascii="Times New Roman" w:hAnsi="Times New Roman" w:eastAsia="仿宋_GB2312" w:cs="Times New Roman"/>
          <w:bCs/>
          <w:color w:val="auto"/>
          <w:kern w:val="2"/>
          <w:sz w:val="32"/>
          <w:szCs w:val="32"/>
          <w:lang w:val="en-US" w:eastAsia="zh-CN" w:bidi="ar-SA"/>
        </w:rPr>
        <w:t>网络平台</w:t>
      </w:r>
      <w:r>
        <w:rPr>
          <w:rFonts w:ascii="Times New Roman" w:hAnsi="Times New Roman" w:cs="Times New Roman"/>
          <w:bCs/>
          <w:color w:val="auto"/>
          <w:kern w:val="2"/>
          <w:sz w:val="32"/>
          <w:szCs w:val="32"/>
          <w:lang w:val="en-US" w:eastAsia="zh-CN" w:bidi="ar-SA"/>
        </w:rPr>
        <w:t>等公共法律服务渠道，提供线上线下法律咨询1799件，</w:t>
      </w:r>
      <w:r>
        <w:rPr>
          <w:rFonts w:ascii="Times New Roman" w:hAnsi="Times New Roman" w:eastAsia="仿宋_GB2312" w:cs="Times New Roman"/>
          <w:bCs/>
          <w:color w:val="auto"/>
          <w:kern w:val="2"/>
          <w:sz w:val="32"/>
          <w:szCs w:val="32"/>
          <w:lang w:val="en-US" w:eastAsia="zh-CN" w:bidi="ar-SA"/>
        </w:rPr>
        <w:t>满意率100%。</w:t>
      </w:r>
      <w:r>
        <w:rPr>
          <w:rFonts w:ascii="Times New Roman" w:hAnsi="Times New Roman" w:eastAsia="仿宋_GB2312" w:cs="Times New Roman"/>
          <w:b/>
          <w:color w:val="auto"/>
          <w:kern w:val="2"/>
          <w:sz w:val="32"/>
          <w:szCs w:val="32"/>
          <w:lang w:val="en-US" w:eastAsia="zh-CN" w:bidi="ar-SA"/>
        </w:rPr>
        <w:t>二是打造“昆仑山下古丽花”人民调解品牌。</w:t>
      </w:r>
      <w:r>
        <w:rPr>
          <w:rFonts w:ascii="Times New Roman" w:hAnsi="Times New Roman" w:eastAsia="仿宋_GB2312" w:cs="Times New Roman"/>
          <w:color w:val="auto"/>
          <w:sz w:val="32"/>
          <w:szCs w:val="32"/>
          <w:lang w:val="en-US" w:eastAsia="zh-CN" w:bidi="ar-SA"/>
        </w:rPr>
        <w:t>结合地域特点、民族文化和职业特征打造“昆仑山下古丽花”人民调解品牌，按照“五有、六统一”标准，建成“昆仑山下古丽花”规范化品牌调解</w:t>
      </w:r>
      <w:r>
        <w:rPr>
          <w:rFonts w:ascii="Times New Roman" w:hAnsi="Times New Roman" w:eastAsia="仿宋_GB2312" w:cs="Times New Roman"/>
          <w:color w:val="auto"/>
          <w:sz w:val="32"/>
          <w:szCs w:val="32"/>
          <w:lang w:val="en-US" w:eastAsia="zh-CN"/>
        </w:rPr>
        <w:t>室56个</w:t>
      </w:r>
      <w:r>
        <w:rPr>
          <w:rFonts w:ascii="Times New Roman" w:hAnsi="Times New Roman" w:eastAsia="仿宋_GB2312" w:cs="Times New Roman"/>
          <w:bCs/>
          <w:sz w:val="32"/>
          <w:szCs w:val="32"/>
          <w:shd w:val="clear" w:color="auto" w:fill="auto"/>
        </w:rPr>
        <w:t>，建立调解员队伍456人，其中专职人民调解员75人</w:t>
      </w:r>
      <w:r>
        <w:rPr>
          <w:rFonts w:ascii="Times New Roman" w:hAnsi="Times New Roman" w:eastAsia="仿宋_GB2312" w:cs="Times New Roman"/>
          <w:bCs/>
          <w:sz w:val="32"/>
          <w:szCs w:val="32"/>
          <w:shd w:val="clear" w:color="auto" w:fill="auto"/>
          <w:lang w:eastAsia="zh-CN"/>
        </w:rPr>
        <w:t>、</w:t>
      </w:r>
      <w:r>
        <w:rPr>
          <w:rFonts w:ascii="Times New Roman" w:hAnsi="Times New Roman" w:eastAsia="仿宋_GB2312" w:cs="Times New Roman"/>
          <w:bCs/>
          <w:sz w:val="32"/>
          <w:szCs w:val="32"/>
          <w:shd w:val="clear" w:color="auto" w:fill="auto"/>
        </w:rPr>
        <w:t>兼职人民调解员381人，</w:t>
      </w:r>
      <w:r>
        <w:rPr>
          <w:rFonts w:ascii="Times New Roman" w:hAnsi="Times New Roman" w:cs="Times New Roman"/>
          <w:bCs/>
          <w:sz w:val="32"/>
          <w:szCs w:val="32"/>
          <w:shd w:val="clear" w:color="auto" w:fill="auto"/>
          <w:lang w:eastAsia="zh-CN"/>
        </w:rPr>
        <w:t>师市辖区所有连队（社区）实现调解组织全覆盖。</w:t>
      </w:r>
      <w:r>
        <w:rPr>
          <w:rFonts w:hint="default" w:ascii="Times New Roman" w:hAnsi="Times New Roman" w:eastAsia="仿宋_GB2312" w:cs="Times New Roman"/>
          <w:b/>
          <w:color w:val="auto"/>
          <w:kern w:val="2"/>
          <w:sz w:val="32"/>
          <w:szCs w:val="32"/>
          <w:lang w:val="en-US" w:eastAsia="zh-CN" w:bidi="ar-SA"/>
        </w:rPr>
        <w:t>三是畅通法律援助“绿色通道”。</w:t>
      </w:r>
      <w:r>
        <w:rPr>
          <w:rFonts w:hint="default" w:ascii="Times New Roman" w:hAnsi="Times New Roman" w:eastAsia="仿宋_GB2312" w:cs="Times New Roman"/>
          <w:sz w:val="32"/>
          <w:szCs w:val="32"/>
          <w:lang w:bidi="ar-SA"/>
        </w:rPr>
        <w:t>充分整合法律援助、人民调解、信访保障职能，依托团场司法所和基层专兼职人民调解资源，</w:t>
      </w:r>
      <w:r>
        <w:rPr>
          <w:rFonts w:hint="default" w:ascii="Times New Roman" w:hAnsi="Times New Roman" w:eastAsia="仿宋_GB2312" w:cs="Times New Roman"/>
          <w:sz w:val="32"/>
          <w:szCs w:val="32"/>
          <w:lang w:val="en-US" w:eastAsia="zh-CN" w:bidi="ar-SA"/>
        </w:rPr>
        <w:t>针对老年人、未成年人、残疾人、退役军人、农民工等特殊群体畅通法律援助“绿色通道”，做到“应援尽援 应援优援”。</w:t>
      </w:r>
      <w:r>
        <w:rPr>
          <w:rFonts w:ascii="Times New Roman" w:hAnsi="Times New Roman" w:eastAsia="仿宋_GB2312" w:cs="Times New Roman"/>
          <w:sz w:val="32"/>
          <w:szCs w:val="32"/>
          <w:lang w:val="en-US" w:eastAsia="zh-CN"/>
        </w:rPr>
        <w:t>2023年，受理法律援助案件63件，</w:t>
      </w:r>
      <w:r>
        <w:rPr>
          <w:rFonts w:ascii="Times New Roman" w:hAnsi="Times New Roman" w:eastAsia="仿宋_GB2312" w:cs="Times New Roman"/>
          <w:sz w:val="32"/>
          <w:szCs w:val="32"/>
          <w:lang w:val="en-US" w:eastAsia="zh-CN" w:bidi="ar-SA"/>
        </w:rPr>
        <w:t>切实维护特殊群体合法权益</w:t>
      </w:r>
      <w:r>
        <w:rPr>
          <w:rFonts w:ascii="Times New Roman" w:hAnsi="Times New Roman" w:eastAsia="仿宋_GB2312" w:cs="Times New Roman"/>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3" w:firstLineChars="200"/>
        <w:jc w:val="both"/>
        <w:textAlignment w:val="auto"/>
        <w:rPr>
          <w:rFonts w:ascii="Times New Roman" w:hAnsi="Times New Roman" w:eastAsia="仿宋_GB2312" w:cs="Times New Roman"/>
          <w:color w:val="auto"/>
          <w:sz w:val="32"/>
          <w:szCs w:val="32"/>
          <w:lang w:val="en-US" w:eastAsia="zh-CN" w:bidi="ar-SA"/>
        </w:rPr>
      </w:pPr>
      <w:r>
        <w:rPr>
          <w:rFonts w:ascii="Times New Roman" w:hAnsi="Times New Roman" w:eastAsia="楷体_GB2312" w:cs="Times New Roman"/>
          <w:b/>
          <w:bCs/>
          <w:color w:val="auto"/>
          <w:sz w:val="32"/>
          <w:szCs w:val="32"/>
          <w:lang w:val="en-US" w:eastAsia="zh-CN" w:bidi="ar-SA"/>
        </w:rPr>
        <w:t>（</w:t>
      </w:r>
      <w:r>
        <w:rPr>
          <w:rFonts w:hint="eastAsia" w:eastAsia="楷体_GB2312" w:cs="Times New Roman"/>
          <w:b/>
          <w:bCs/>
          <w:color w:val="auto"/>
          <w:sz w:val="32"/>
          <w:szCs w:val="32"/>
          <w:lang w:val="en-US" w:eastAsia="zh-CN" w:bidi="ar-SA"/>
        </w:rPr>
        <w:t>七</w:t>
      </w:r>
      <w:r>
        <w:rPr>
          <w:rFonts w:ascii="Times New Roman" w:hAnsi="Times New Roman" w:eastAsia="楷体_GB2312" w:cs="Times New Roman"/>
          <w:b/>
          <w:bCs/>
          <w:color w:val="auto"/>
          <w:sz w:val="32"/>
          <w:szCs w:val="32"/>
          <w:lang w:val="en-US" w:eastAsia="zh-CN" w:bidi="ar-SA"/>
        </w:rPr>
        <w:t>）大力营造学法用法良好氛围。</w:t>
      </w:r>
      <w:r>
        <w:rPr>
          <w:rFonts w:ascii="Times New Roman" w:hAnsi="Times New Roman" w:eastAsia="仿宋_GB2312" w:cs="Times New Roman"/>
          <w:b/>
          <w:bCs/>
          <w:color w:val="auto"/>
          <w:sz w:val="32"/>
          <w:szCs w:val="32"/>
          <w:lang w:val="en-US" w:eastAsia="zh-CN" w:bidi="ar-SA"/>
        </w:rPr>
        <w:t>一是制定要点，深入实施“八五”普法规划。</w:t>
      </w:r>
      <w:r>
        <w:rPr>
          <w:rFonts w:ascii="Times New Roman" w:hAnsi="Times New Roman" w:eastAsia="仿宋_GB2312" w:cs="Times New Roman"/>
          <w:color w:val="auto"/>
          <w:sz w:val="32"/>
          <w:szCs w:val="32"/>
          <w:lang w:val="en-US" w:eastAsia="zh-CN" w:bidi="ar-SA"/>
        </w:rPr>
        <w:t>印发《2023年第十四师昆玉市普法依法治理工作要点》，编制《2023年重点时间节点普法宣传清单》，明确各单位普法责任，推动建立大普法格局。</w:t>
      </w:r>
      <w:r>
        <w:rPr>
          <w:rFonts w:ascii="Times New Roman" w:hAnsi="Times New Roman" w:eastAsia="仿宋_GB2312" w:cs="Times New Roman"/>
          <w:color w:val="auto"/>
          <w:spacing w:val="2"/>
          <w:sz w:val="32"/>
          <w:szCs w:val="32"/>
          <w:lang w:eastAsia="zh-CN"/>
        </w:rPr>
        <w:t>开展“八五”普法规划中期自查评估，对各团场、部门进行检查，推动“八五”普法规划深入实施。</w:t>
      </w:r>
      <w:r>
        <w:rPr>
          <w:rFonts w:hint="default" w:ascii="Times New Roman" w:hAnsi="Times New Roman" w:eastAsia="仿宋_GB2312" w:cs="Times New Roman"/>
          <w:b/>
          <w:bCs/>
          <w:color w:val="auto"/>
          <w:sz w:val="32"/>
          <w:szCs w:val="32"/>
          <w:lang w:val="en-US" w:eastAsia="zh-CN" w:bidi="ar-SA"/>
        </w:rPr>
        <w:t>二是紧扣“节点”，常态化开展法治宣传。</w:t>
      </w:r>
      <w:r>
        <w:rPr>
          <w:rFonts w:hint="default" w:ascii="Times New Roman" w:hAnsi="Times New Roman" w:eastAsia="仿宋_GB2312" w:cs="Times New Roman"/>
          <w:color w:val="auto"/>
          <w:sz w:val="32"/>
          <w:szCs w:val="32"/>
          <w:lang w:val="en-US" w:eastAsia="zh-CN" w:bidi="ar-SA"/>
        </w:rPr>
        <w:t>以“3·8”“3·15”“4·15”</w:t>
      </w:r>
      <w:r>
        <w:rPr>
          <w:rFonts w:hint="default" w:ascii="Times New Roman" w:hAnsi="Times New Roman" w:cs="Times New Roman"/>
          <w:color w:val="auto"/>
          <w:sz w:val="32"/>
          <w:szCs w:val="32"/>
          <w:lang w:val="en-US" w:eastAsia="zh-CN" w:bidi="ar-SA"/>
        </w:rPr>
        <w:t>“5·1”“12·4”</w:t>
      </w:r>
      <w:r>
        <w:rPr>
          <w:rFonts w:ascii="Times New Roman" w:hAnsi="Times New Roman" w:eastAsia="仿宋_GB2312" w:cs="Times New Roman"/>
          <w:color w:val="auto"/>
          <w:sz w:val="32"/>
          <w:szCs w:val="32"/>
          <w:lang w:val="en-US" w:eastAsia="zh-CN" w:bidi="ar-SA"/>
        </w:rPr>
        <w:t>等重要时间节点为契机，大力开展返乡大学生法治大宣讲、防范电信诈骗、防范养老诈骗等主题宣传活动。</w:t>
      </w:r>
      <w:r>
        <w:rPr>
          <w:rFonts w:hint="eastAsia" w:cs="Times New Roman"/>
          <w:b/>
          <w:bCs/>
          <w:color w:val="auto"/>
          <w:sz w:val="32"/>
          <w:szCs w:val="32"/>
          <w:u w:val="none"/>
          <w:lang w:val="en-US" w:eastAsia="zh-CN" w:bidi="ar-SA"/>
        </w:rPr>
        <w:t>三</w:t>
      </w:r>
      <w:r>
        <w:rPr>
          <w:rFonts w:ascii="Times New Roman" w:hAnsi="Times New Roman" w:eastAsia="仿宋_GB2312" w:cs="Times New Roman"/>
          <w:b/>
          <w:bCs/>
          <w:color w:val="auto"/>
          <w:sz w:val="32"/>
          <w:szCs w:val="32"/>
          <w:lang w:val="en-US" w:eastAsia="zh-CN" w:bidi="ar-SA"/>
        </w:rPr>
        <w:t>是打通“堵点”，培育“法律明白人”队伍。</w:t>
      </w:r>
      <w:r>
        <w:rPr>
          <w:rFonts w:ascii="Times New Roman" w:hAnsi="Times New Roman" w:eastAsia="仿宋_GB2312" w:cs="Times New Roman"/>
          <w:color w:val="auto"/>
          <w:sz w:val="32"/>
          <w:szCs w:val="32"/>
          <w:lang w:val="en-US" w:eastAsia="zh-CN" w:bidi="ar-SA"/>
        </w:rPr>
        <w:t>完成260名“法律明白人”培训、考核工作，</w:t>
      </w:r>
      <w:r>
        <w:rPr>
          <w:rFonts w:ascii="Times New Roman" w:hAnsi="Times New Roman" w:eastAsia="仿宋_GB2312" w:cs="Times New Roman"/>
          <w:spacing w:val="2"/>
          <w:kern w:val="2"/>
          <w:sz w:val="32"/>
          <w:szCs w:val="32"/>
          <w:lang w:val="en-US" w:eastAsia="zh-CN" w:bidi="ar-SA"/>
        </w:rPr>
        <w:t>通过普法宣传、以案释法等活动，</w:t>
      </w:r>
      <w:r>
        <w:rPr>
          <w:rFonts w:ascii="Times New Roman" w:hAnsi="Times New Roman" w:eastAsia="仿宋_GB2312" w:cs="Times New Roman"/>
          <w:color w:val="auto"/>
          <w:sz w:val="32"/>
          <w:szCs w:val="32"/>
          <w:lang w:val="en-US" w:eastAsia="zh-CN" w:bidi="ar-SA"/>
        </w:rPr>
        <w:t>打通了法治宣传最后一公里，夯实了法治师市社会基础。</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hint="default" w:ascii="Times New Roman" w:hAnsi="Times New Roman" w:eastAsia="黑体" w:cs="Times New Roman"/>
          <w:color w:val="auto"/>
          <w:sz w:val="32"/>
          <w:szCs w:val="32"/>
          <w:lang w:val="en-US" w:eastAsia="zh-CN" w:bidi="ar-SA"/>
        </w:rPr>
      </w:pPr>
      <w:r>
        <w:rPr>
          <w:rFonts w:hint="default" w:ascii="Times New Roman" w:hAnsi="Times New Roman" w:eastAsia="黑体" w:cs="Times New Roman"/>
          <w:color w:val="auto"/>
          <w:sz w:val="32"/>
          <w:szCs w:val="32"/>
          <w:lang w:val="en-US" w:eastAsia="zh-CN" w:bidi="ar-SA"/>
        </w:rPr>
        <w:t>二、2023年度党政主要负责人履行推进法治建设第一责任人职责情况</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jc w:val="both"/>
        <w:textAlignment w:val="auto"/>
        <w:rPr>
          <w:rFonts w:ascii="Times New Roman" w:hAnsi="Times New Roman" w:eastAsia="仿宋_GB2312" w:cs="Times New Roman"/>
          <w:color w:val="auto"/>
          <w:sz w:val="32"/>
          <w:szCs w:val="32"/>
          <w:lang w:val="en-US" w:eastAsia="zh-CN" w:bidi="ar-SA"/>
        </w:rPr>
      </w:pPr>
      <w:r>
        <w:rPr>
          <w:rFonts w:ascii="Times New Roman" w:hAnsi="Times New Roman" w:eastAsia="仿宋_GB2312" w:cs="Times New Roman"/>
          <w:color w:val="auto"/>
          <w:sz w:val="32"/>
          <w:szCs w:val="32"/>
          <w:lang w:val="en-US" w:eastAsia="zh-CN" w:bidi="ar-SA"/>
        </w:rPr>
        <w:t>师市党政主要负责人深入学习党的二十大和二十届二中全会精神，全面贯彻落实党中央和兵团关于法治建设的重大决策部署，严格履行“第一责任人”职责，以提升法治意识、规范法治行为为目标，创新法治具体举措，提升基层法治建设水平。</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3" w:firstLineChars="200"/>
        <w:textAlignment w:val="auto"/>
        <w:rPr>
          <w:rFonts w:ascii="Times New Roman" w:hAnsi="Times New Roman" w:eastAsia="仿宋_GB2312" w:cs="Times New Roman"/>
          <w:color w:val="000000"/>
          <w:kern w:val="2"/>
          <w:sz w:val="32"/>
          <w:szCs w:val="32"/>
          <w:vertAlign w:val="baseline"/>
          <w:lang w:val="en-US" w:eastAsia="zh-CN"/>
        </w:rPr>
      </w:pPr>
      <w:r>
        <w:rPr>
          <w:rFonts w:hint="default" w:ascii="Times New Roman" w:hAnsi="Times New Roman" w:eastAsia="楷体_GB2312" w:cs="Times New Roman"/>
          <w:b/>
          <w:bCs/>
          <w:color w:val="000000"/>
          <w:kern w:val="2"/>
          <w:sz w:val="32"/>
          <w:szCs w:val="32"/>
          <w:vertAlign w:val="baseline"/>
          <w:lang w:val="en-US" w:eastAsia="zh-CN"/>
        </w:rPr>
        <w:t>（一）深入学习宣传贯彻习近平法治思想。</w:t>
      </w:r>
      <w:r>
        <w:rPr>
          <w:rFonts w:ascii="Times New Roman" w:hAnsi="Times New Roman" w:eastAsia="仿宋_GB2312" w:cs="Times New Roman"/>
          <w:b w:val="0"/>
          <w:bCs w:val="0"/>
          <w:color w:val="000000"/>
          <w:kern w:val="2"/>
          <w:sz w:val="32"/>
          <w:szCs w:val="32"/>
          <w:vertAlign w:val="baseline"/>
          <w:lang w:val="en-US" w:eastAsia="zh-CN"/>
        </w:rPr>
        <w:t>2023年，师市将</w:t>
      </w:r>
      <w:r>
        <w:rPr>
          <w:rFonts w:ascii="Times New Roman" w:hAnsi="Times New Roman" w:eastAsia="仿宋_GB2312" w:cs="Times New Roman"/>
          <w:color w:val="000000"/>
          <w:kern w:val="2"/>
          <w:sz w:val="32"/>
          <w:szCs w:val="32"/>
          <w:vertAlign w:val="baseline"/>
          <w:lang w:val="en-US" w:eastAsia="zh-CN"/>
        </w:rPr>
        <w:t>习近平法治思想列为各级党委（党组）常委会、理论学习中心组、行政常务会等会议重点学习内容，累计学习习近平法治思想、法律法规和党内法规17次。师市党委党校将习近平法治思想作为干部培训的必修课，举办法治培训班12个、法治专题讲座26场次，师市各级领导干部法治意识不断增强。</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3" w:firstLineChars="200"/>
        <w:textAlignment w:val="auto"/>
        <w:rPr>
          <w:rFonts w:ascii="Times New Roman" w:hAnsi="Times New Roman" w:eastAsia="仿宋_GB2312" w:cs="Times New Roman"/>
          <w:color w:val="auto"/>
          <w:spacing w:val="2"/>
          <w:sz w:val="32"/>
          <w:szCs w:val="32"/>
          <w:lang w:eastAsia="zh-CN"/>
        </w:rPr>
      </w:pPr>
      <w:r>
        <w:rPr>
          <w:rFonts w:ascii="Times New Roman" w:hAnsi="Times New Roman" w:eastAsia="楷体_GB2312" w:cs="Times New Roman"/>
          <w:b/>
          <w:bCs/>
          <w:sz w:val="32"/>
          <w:szCs w:val="32"/>
          <w:lang w:eastAsia="zh-CN" w:bidi="ar-SA"/>
        </w:rPr>
        <w:t>（二）</w:t>
      </w:r>
      <w:r>
        <w:rPr>
          <w:rFonts w:ascii="Times New Roman" w:hAnsi="Times New Roman" w:eastAsia="楷体_GB2312" w:cs="Times New Roman"/>
          <w:b/>
          <w:bCs/>
          <w:color w:val="auto"/>
          <w:spacing w:val="2"/>
          <w:sz w:val="32"/>
          <w:szCs w:val="32"/>
          <w:lang w:eastAsia="zh-CN" w:bidi="ar-SA"/>
        </w:rPr>
        <w:t>深入开展领导干部学法用法述法。</w:t>
      </w:r>
      <w:r>
        <w:rPr>
          <w:rFonts w:ascii="Times New Roman" w:hAnsi="Times New Roman" w:eastAsia="仿宋_GB2312" w:cs="Times New Roman"/>
          <w:b w:val="0"/>
          <w:bCs w:val="0"/>
          <w:color w:val="auto"/>
          <w:spacing w:val="2"/>
          <w:sz w:val="32"/>
          <w:szCs w:val="32"/>
          <w:lang w:val="en-US" w:eastAsia="zh-CN" w:bidi="ar-SA"/>
        </w:rPr>
        <w:t>严格落实党政主要负责人履行推进法治建设第一责任人职责，</w:t>
      </w:r>
      <w:r>
        <w:rPr>
          <w:rFonts w:ascii="Times New Roman" w:hAnsi="Times New Roman" w:eastAsia="仿宋_GB2312" w:cs="Times New Roman"/>
          <w:b w:val="0"/>
          <w:bCs w:val="0"/>
          <w:color w:val="auto"/>
          <w:sz w:val="32"/>
          <w:szCs w:val="32"/>
          <w:lang w:val="en-US" w:eastAsia="zh-CN" w:bidi="ar-SA"/>
        </w:rPr>
        <w:t>召开师市党委述法工作专题会议，组织</w:t>
      </w:r>
      <w:r>
        <w:rPr>
          <w:rFonts w:ascii="Times New Roman" w:hAnsi="Times New Roman" w:eastAsia="仿宋_GB2312" w:cs="Times New Roman"/>
          <w:b w:val="0"/>
          <w:bCs w:val="0"/>
          <w:color w:val="auto"/>
          <w:sz w:val="32"/>
          <w:szCs w:val="32"/>
          <w:lang w:val="en-US" w:eastAsia="zh-CN"/>
        </w:rPr>
        <w:t>5</w:t>
      </w:r>
      <w:r>
        <w:rPr>
          <w:rFonts w:ascii="Times New Roman" w:hAnsi="Times New Roman" w:eastAsia="仿宋_GB2312" w:cs="Times New Roman"/>
          <w:color w:val="auto"/>
          <w:sz w:val="32"/>
          <w:szCs w:val="32"/>
          <w:lang w:val="en-US" w:eastAsia="zh-CN"/>
        </w:rPr>
        <w:t>个团场党委主要负责人和3个部门主要负责人进行现场述</w:t>
      </w:r>
      <w:r>
        <w:rPr>
          <w:rFonts w:ascii="Times New Roman" w:hAnsi="Times New Roman" w:eastAsia="仿宋_GB2312" w:cs="Times New Roman"/>
          <w:color w:val="auto"/>
          <w:sz w:val="32"/>
          <w:szCs w:val="32"/>
          <w:lang w:val="en-US" w:eastAsia="zh-CN" w:bidi="ar-SA"/>
        </w:rPr>
        <w:t>法，团场行政主要负责人和其他部门主要负责人进行书面述法，并对述法情况进行民主测评和通报。</w:t>
      </w:r>
      <w:r>
        <w:rPr>
          <w:rFonts w:ascii="Times New Roman" w:hAnsi="Times New Roman" w:eastAsia="仿宋_GB2312" w:cs="Times New Roman"/>
          <w:color w:val="auto"/>
          <w:spacing w:val="2"/>
          <w:sz w:val="32"/>
          <w:szCs w:val="32"/>
          <w:lang w:eastAsia="zh-CN"/>
        </w:rPr>
        <w:t>建立常态化法治大讲堂制度，每月开展1次法治专题讲座。按照“释法+点评”模式，建立师市行政常务会议定期学法、述法、以案释法制度，实现会前学法常态化。</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3" w:firstLineChars="200"/>
        <w:textAlignment w:val="auto"/>
        <w:rPr>
          <w:rFonts w:ascii="Times New Roman" w:hAnsi="Times New Roman" w:eastAsia="仿宋_GB2312" w:cs="Times New Roman"/>
          <w:spacing w:val="2"/>
          <w:sz w:val="32"/>
          <w:szCs w:val="32"/>
          <w:lang w:bidi="ar-SA"/>
        </w:rPr>
      </w:pPr>
      <w:r>
        <w:rPr>
          <w:rFonts w:ascii="Times New Roman" w:hAnsi="Times New Roman" w:eastAsia="楷体_GB2312" w:cs="Times New Roman"/>
          <w:b/>
          <w:bCs/>
          <w:color w:val="000000"/>
          <w:kern w:val="2"/>
          <w:sz w:val="32"/>
          <w:szCs w:val="32"/>
          <w:vertAlign w:val="baseline"/>
          <w:lang w:val="en-US" w:eastAsia="zh-CN"/>
        </w:rPr>
        <w:t>（三）</w:t>
      </w:r>
      <w:r>
        <w:rPr>
          <w:rFonts w:ascii="Times New Roman" w:hAnsi="Times New Roman" w:eastAsia="楷体_GB2312" w:cs="Times New Roman"/>
          <w:b/>
          <w:bCs/>
          <w:sz w:val="32"/>
          <w:szCs w:val="32"/>
          <w:lang w:eastAsia="zh-CN" w:bidi="ar-SA"/>
        </w:rPr>
        <w:t>不断提升法治思维和依法行政能力。</w:t>
      </w:r>
      <w:r>
        <w:rPr>
          <w:rFonts w:ascii="Times New Roman" w:hAnsi="Times New Roman" w:eastAsia="仿宋_GB2312" w:cs="Times New Roman"/>
          <w:spacing w:val="2"/>
          <w:sz w:val="32"/>
          <w:szCs w:val="32"/>
          <w:lang w:bidi="ar-SA"/>
        </w:rPr>
        <w:t>深入开展依法行政大培训，对各团场、部门执法人员及工作人员进行全覆盖培训。</w:t>
      </w:r>
      <w:r>
        <w:rPr>
          <w:rFonts w:ascii="Times New Roman" w:hAnsi="Times New Roman" w:eastAsia="仿宋_GB2312" w:cs="Times New Roman"/>
          <w:color w:val="auto"/>
          <w:spacing w:val="2"/>
          <w:sz w:val="32"/>
          <w:szCs w:val="32"/>
        </w:rPr>
        <w:t>师市共举办依法行政培训班</w:t>
      </w:r>
      <w:r>
        <w:rPr>
          <w:rFonts w:ascii="Times New Roman" w:hAnsi="Times New Roman" w:eastAsia="仿宋_GB2312" w:cs="Times New Roman"/>
          <w:color w:val="auto"/>
          <w:spacing w:val="2"/>
          <w:sz w:val="32"/>
          <w:szCs w:val="32"/>
          <w:lang w:val="en-US" w:eastAsia="zh-CN"/>
        </w:rPr>
        <w:t>132</w:t>
      </w:r>
      <w:r>
        <w:rPr>
          <w:rFonts w:ascii="Times New Roman" w:hAnsi="Times New Roman" w:eastAsia="仿宋_GB2312" w:cs="Times New Roman"/>
          <w:color w:val="auto"/>
          <w:spacing w:val="2"/>
          <w:sz w:val="32"/>
          <w:szCs w:val="32"/>
        </w:rPr>
        <w:t>期，培训各级干部</w:t>
      </w:r>
      <w:r>
        <w:rPr>
          <w:rFonts w:ascii="Times New Roman" w:hAnsi="Times New Roman" w:eastAsia="仿宋_GB2312" w:cs="Times New Roman"/>
          <w:color w:val="auto"/>
          <w:spacing w:val="2"/>
          <w:sz w:val="32"/>
          <w:szCs w:val="32"/>
          <w:lang w:val="en-US" w:eastAsia="zh-CN"/>
        </w:rPr>
        <w:t>5125</w:t>
      </w:r>
      <w:r>
        <w:rPr>
          <w:rFonts w:ascii="Times New Roman" w:hAnsi="Times New Roman" w:eastAsia="仿宋_GB2312" w:cs="Times New Roman"/>
          <w:color w:val="auto"/>
          <w:spacing w:val="2"/>
          <w:sz w:val="32"/>
          <w:szCs w:val="32"/>
        </w:rPr>
        <w:t>人次</w:t>
      </w:r>
      <w:r>
        <w:rPr>
          <w:rFonts w:ascii="Times New Roman" w:hAnsi="Times New Roman" w:eastAsia="仿宋_GB2312" w:cs="Times New Roman"/>
          <w:color w:val="auto"/>
          <w:spacing w:val="2"/>
          <w:sz w:val="32"/>
          <w:szCs w:val="32"/>
          <w:lang w:eastAsia="zh-CN"/>
        </w:rPr>
        <w:t>，</w:t>
      </w:r>
      <w:r>
        <w:rPr>
          <w:rFonts w:ascii="Times New Roman" w:hAnsi="Times New Roman" w:eastAsia="仿宋_GB2312" w:cs="Times New Roman"/>
          <w:spacing w:val="2"/>
          <w:sz w:val="32"/>
          <w:szCs w:val="32"/>
          <w:lang w:bidi="ar-SA"/>
        </w:rPr>
        <w:t>师市领导干部依法履职能力明显提高。</w:t>
      </w:r>
    </w:p>
    <w:p>
      <w:pPr>
        <w:keepNext w:val="0"/>
        <w:keepLines w:val="0"/>
        <w:pageBreakBefore w:val="0"/>
        <w:widowControl w:val="0"/>
        <w:kinsoku/>
        <w:wordWrap/>
        <w:overflowPunct/>
        <w:topLinePunct w:val="0"/>
        <w:autoSpaceDE/>
        <w:autoSpaceDN/>
        <w:bidi w:val="0"/>
        <w:adjustRightInd w:val="0"/>
        <w:snapToGrid w:val="0"/>
        <w:spacing w:line="560" w:lineRule="exact"/>
        <w:ind w:left="0" w:right="0" w:firstLine="640" w:firstLineChars="200"/>
        <w:textAlignment w:val="auto"/>
        <w:rPr>
          <w:rFonts w:ascii="Times New Roman" w:hAnsi="Times New Roman" w:eastAsia="黑体" w:cs="Times New Roman"/>
          <w:color w:val="000000"/>
          <w:sz w:val="32"/>
          <w:szCs w:val="32"/>
          <w:lang w:eastAsia="zh-CN"/>
        </w:rPr>
      </w:pPr>
      <w:r>
        <w:rPr>
          <w:rFonts w:ascii="Times New Roman" w:hAnsi="Times New Roman" w:eastAsia="黑体" w:cs="Times New Roman"/>
          <w:color w:val="000000"/>
          <w:sz w:val="32"/>
          <w:szCs w:val="32"/>
          <w:lang w:eastAsia="zh-CN"/>
        </w:rPr>
        <w:t>三</w:t>
      </w:r>
      <w:r>
        <w:rPr>
          <w:rFonts w:ascii="Times New Roman" w:hAnsi="Times New Roman" w:eastAsia="黑体" w:cs="Times New Roman"/>
          <w:color w:val="000000"/>
          <w:sz w:val="32"/>
          <w:szCs w:val="32"/>
        </w:rPr>
        <w:t>、</w:t>
      </w:r>
      <w:r>
        <w:rPr>
          <w:rFonts w:ascii="Times New Roman" w:hAnsi="Times New Roman" w:eastAsia="黑体" w:cs="Times New Roman"/>
          <w:color w:val="000000"/>
          <w:sz w:val="32"/>
          <w:szCs w:val="32"/>
          <w:lang w:val="en-US" w:eastAsia="zh-CN"/>
        </w:rPr>
        <w:t>2023年度推进法治政府建设</w:t>
      </w:r>
      <w:r>
        <w:rPr>
          <w:rFonts w:ascii="Times New Roman" w:hAnsi="Times New Roman" w:eastAsia="黑体" w:cs="Times New Roman"/>
          <w:color w:val="000000"/>
          <w:sz w:val="32"/>
          <w:szCs w:val="32"/>
        </w:rPr>
        <w:t>存在的</w:t>
      </w:r>
      <w:r>
        <w:rPr>
          <w:rFonts w:ascii="Times New Roman" w:hAnsi="Times New Roman" w:eastAsia="黑体" w:cs="Times New Roman"/>
          <w:color w:val="000000"/>
          <w:sz w:val="32"/>
          <w:szCs w:val="32"/>
          <w:lang w:eastAsia="zh-CN"/>
        </w:rPr>
        <w:t>不足</w:t>
      </w:r>
    </w:p>
    <w:p>
      <w:pPr>
        <w:pStyle w:val="6"/>
        <w:keepNext w:val="0"/>
        <w:keepLines w:val="0"/>
        <w:pageBreakBefore w:val="0"/>
        <w:widowControl w:val="0"/>
        <w:kinsoku/>
        <w:wordWrap/>
        <w:overflowPunct/>
        <w:topLinePunct w:val="0"/>
        <w:autoSpaceDE/>
        <w:autoSpaceDN/>
        <w:bidi w:val="0"/>
        <w:spacing w:after="0" w:line="560" w:lineRule="exact"/>
        <w:ind w:left="0" w:leftChars="0" w:firstLine="643" w:firstLineChars="200"/>
        <w:textAlignment w:val="auto"/>
        <w:rPr>
          <w:rFonts w:ascii="Times New Roman" w:hAnsi="Times New Roman" w:eastAsia="仿宋_GB2312" w:cs="Times New Roman"/>
          <w:color w:val="auto"/>
          <w:sz w:val="32"/>
          <w:szCs w:val="32"/>
          <w:lang w:val="en-US" w:eastAsia="zh-CN" w:bidi="ar-SA"/>
        </w:rPr>
      </w:pPr>
      <w:r>
        <w:rPr>
          <w:rFonts w:ascii="Times New Roman" w:hAnsi="Times New Roman" w:eastAsia="楷体_GB2312" w:cs="Times New Roman"/>
          <w:b/>
          <w:bCs/>
          <w:sz w:val="32"/>
          <w:szCs w:val="32"/>
          <w:lang w:val="en-US" w:eastAsia="zh-CN" w:bidi="ar-SA"/>
        </w:rPr>
        <w:t>（一）法治意识需进一步加强。</w:t>
      </w:r>
      <w:r>
        <w:rPr>
          <w:rFonts w:ascii="Times New Roman" w:hAnsi="Times New Roman" w:eastAsia="仿宋_GB2312" w:cs="Times New Roman"/>
          <w:color w:val="auto"/>
          <w:sz w:val="32"/>
          <w:szCs w:val="32"/>
          <w:lang w:val="en-US" w:eastAsia="zh-CN"/>
        </w:rPr>
        <w:t>个别单位对全面推进依法行政、建设法治政府的重要性和紧迫性认识不足，重视程度不够</w:t>
      </w:r>
      <w:r>
        <w:rPr>
          <w:rFonts w:hint="eastAsia" w:cs="Times New Roman"/>
          <w:color w:val="auto"/>
          <w:sz w:val="32"/>
          <w:szCs w:val="32"/>
          <w:lang w:val="en-US" w:eastAsia="zh-CN"/>
        </w:rPr>
        <w:t>，</w:t>
      </w:r>
      <w:r>
        <w:rPr>
          <w:rFonts w:ascii="Times New Roman" w:hAnsi="Times New Roman" w:eastAsia="仿宋_GB2312" w:cs="Times New Roman"/>
          <w:color w:val="auto"/>
          <w:sz w:val="32"/>
          <w:szCs w:val="32"/>
          <w:lang w:val="en-US" w:eastAsia="zh-CN"/>
        </w:rPr>
        <w:t>运用法治思维和法治方式化解矛盾、解决问题的能力不强。</w:t>
      </w:r>
    </w:p>
    <w:p>
      <w:pPr>
        <w:pStyle w:val="6"/>
        <w:keepNext w:val="0"/>
        <w:keepLines w:val="0"/>
        <w:pageBreakBefore w:val="0"/>
        <w:widowControl w:val="0"/>
        <w:kinsoku/>
        <w:wordWrap/>
        <w:overflowPunct/>
        <w:topLinePunct w:val="0"/>
        <w:autoSpaceDE/>
        <w:autoSpaceDN/>
        <w:bidi w:val="0"/>
        <w:spacing w:after="0" w:line="560" w:lineRule="exact"/>
        <w:ind w:left="0" w:leftChars="0" w:firstLine="643" w:firstLineChars="200"/>
        <w:textAlignment w:val="auto"/>
        <w:rPr>
          <w:rFonts w:hint="eastAsia" w:cs="Times New Roman"/>
          <w:sz w:val="32"/>
          <w:szCs w:val="32"/>
          <w:lang w:val="en-US" w:eastAsia="zh-CN" w:bidi="ar-SA"/>
        </w:rPr>
      </w:pPr>
      <w:r>
        <w:rPr>
          <w:rFonts w:ascii="Times New Roman" w:hAnsi="Times New Roman" w:eastAsia="楷体_GB2312" w:cs="Times New Roman"/>
          <w:b/>
          <w:bCs/>
          <w:sz w:val="32"/>
          <w:szCs w:val="32"/>
          <w:lang w:val="en-US" w:eastAsia="zh-CN" w:bidi="ar-SA"/>
        </w:rPr>
        <w:t>（二）法治政府创建存在短板弱项。</w:t>
      </w:r>
      <w:r>
        <w:rPr>
          <w:rFonts w:ascii="Times New Roman" w:hAnsi="Times New Roman" w:eastAsia="仿宋_GB2312" w:cs="Times New Roman"/>
          <w:sz w:val="32"/>
          <w:szCs w:val="32"/>
          <w:lang w:val="en-US" w:eastAsia="zh-CN" w:bidi="ar-SA"/>
        </w:rPr>
        <w:t>对照全国法治政府示范创建指标体系，师市在依法行政方面还有一定差距，特别是部分团场和部门</w:t>
      </w:r>
      <w:r>
        <w:rPr>
          <w:rFonts w:hint="default" w:ascii="Times New Roman" w:hAnsi="Times New Roman" w:cs="Times New Roman"/>
          <w:b w:val="0"/>
          <w:color w:val="auto"/>
          <w:sz w:val="32"/>
          <w:szCs w:val="32"/>
          <w:lang w:val="en-US" w:eastAsia="zh-CN"/>
        </w:rPr>
        <w:t>承接授权</w:t>
      </w:r>
      <w:r>
        <w:rPr>
          <w:rFonts w:hint="eastAsia" w:cs="Times New Roman"/>
          <w:b w:val="0"/>
          <w:color w:val="auto"/>
          <w:sz w:val="32"/>
          <w:szCs w:val="32"/>
          <w:lang w:val="en-US" w:eastAsia="zh-CN"/>
        </w:rPr>
        <w:t>方面</w:t>
      </w:r>
      <w:r>
        <w:rPr>
          <w:rFonts w:hint="default" w:ascii="Times New Roman" w:hAnsi="Times New Roman" w:cs="Times New Roman"/>
          <w:b w:val="0"/>
          <w:color w:val="auto"/>
          <w:sz w:val="32"/>
          <w:szCs w:val="32"/>
          <w:lang w:val="en-US" w:eastAsia="zh-CN"/>
        </w:rPr>
        <w:t>存在短板。</w:t>
      </w:r>
    </w:p>
    <w:p>
      <w:pPr>
        <w:pStyle w:val="6"/>
        <w:keepNext w:val="0"/>
        <w:keepLines w:val="0"/>
        <w:pageBreakBefore w:val="0"/>
        <w:widowControl w:val="0"/>
        <w:kinsoku/>
        <w:wordWrap/>
        <w:overflowPunct/>
        <w:topLinePunct w:val="0"/>
        <w:autoSpaceDE/>
        <w:autoSpaceDN/>
        <w:bidi w:val="0"/>
        <w:spacing w:after="0" w:line="560" w:lineRule="exact"/>
        <w:ind w:left="0" w:leftChars="0" w:firstLine="643" w:firstLineChars="200"/>
        <w:textAlignment w:val="auto"/>
        <w:rPr>
          <w:rFonts w:ascii="Times New Roman" w:hAnsi="Times New Roman" w:eastAsia="仿宋_GB2312" w:cs="Times New Roman"/>
          <w:sz w:val="32"/>
          <w:szCs w:val="32"/>
          <w:lang w:val="en-US" w:eastAsia="zh-CN" w:bidi="ar-SA"/>
        </w:rPr>
      </w:pPr>
      <w:r>
        <w:rPr>
          <w:rFonts w:ascii="Times New Roman" w:hAnsi="Times New Roman" w:eastAsia="楷体_GB2312" w:cs="Times New Roman"/>
          <w:b/>
          <w:bCs/>
          <w:sz w:val="32"/>
          <w:szCs w:val="32"/>
          <w:lang w:val="en-US" w:eastAsia="zh-CN" w:bidi="ar-SA"/>
        </w:rPr>
        <w:t>（</w:t>
      </w:r>
      <w:r>
        <w:rPr>
          <w:rFonts w:hint="eastAsia" w:eastAsia="楷体_GB2312" w:cs="Times New Roman"/>
          <w:b/>
          <w:bCs/>
          <w:sz w:val="32"/>
          <w:szCs w:val="32"/>
          <w:lang w:val="en-US" w:eastAsia="zh-CN" w:bidi="ar-SA"/>
        </w:rPr>
        <w:t>三</w:t>
      </w:r>
      <w:r>
        <w:rPr>
          <w:rFonts w:ascii="Times New Roman" w:hAnsi="Times New Roman" w:eastAsia="楷体_GB2312" w:cs="Times New Roman"/>
          <w:b/>
          <w:bCs/>
          <w:sz w:val="32"/>
          <w:szCs w:val="32"/>
          <w:lang w:val="en-US" w:eastAsia="zh-CN" w:bidi="ar-SA"/>
        </w:rPr>
        <w:t>）基层法治队伍建设亟需加强。</w:t>
      </w:r>
      <w:r>
        <w:rPr>
          <w:rFonts w:ascii="Times New Roman" w:hAnsi="Times New Roman" w:eastAsia="仿宋_GB2312" w:cs="Times New Roman"/>
          <w:sz w:val="32"/>
          <w:szCs w:val="32"/>
          <w:lang w:val="en-US" w:eastAsia="zh-CN" w:bidi="ar-SA"/>
        </w:rPr>
        <w:t>律师、公证员等</w:t>
      </w:r>
      <w:r>
        <w:rPr>
          <w:rFonts w:hint="eastAsia" w:ascii="Times New Roman" w:hAnsi="Times New Roman" w:eastAsia="仿宋_GB2312" w:cs="Times New Roman"/>
          <w:sz w:val="32"/>
          <w:szCs w:val="32"/>
          <w:lang w:val="en-US" w:eastAsia="zh-CN" w:bidi="ar-SA"/>
        </w:rPr>
        <w:t>公共法律服务人才</w:t>
      </w:r>
      <w:r>
        <w:rPr>
          <w:rFonts w:ascii="Times New Roman" w:hAnsi="Times New Roman" w:eastAsia="仿宋_GB2312" w:cs="Times New Roman"/>
          <w:sz w:val="32"/>
          <w:szCs w:val="32"/>
          <w:lang w:val="en-US" w:eastAsia="zh-CN" w:bidi="ar-SA"/>
        </w:rPr>
        <w:t>不足，提供法律服务能力弱</w:t>
      </w:r>
      <w:r>
        <w:rPr>
          <w:rFonts w:hint="eastAsia" w:cs="Times New Roman"/>
          <w:sz w:val="32"/>
          <w:szCs w:val="32"/>
          <w:lang w:val="en-US" w:eastAsia="zh-CN" w:bidi="ar-SA"/>
        </w:rPr>
        <w:t>，难以满足职工群众的需求。</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both"/>
        <w:textAlignment w:val="auto"/>
        <w:rPr>
          <w:rFonts w:ascii="Times New Roman" w:hAnsi="Times New Roman" w:eastAsia="黑体" w:cs="Times New Roman"/>
          <w:color w:val="auto"/>
          <w:sz w:val="32"/>
          <w:szCs w:val="32"/>
          <w:lang w:val="en-US" w:eastAsia="zh-CN" w:bidi="ar-SA"/>
        </w:rPr>
      </w:pPr>
      <w:r>
        <w:rPr>
          <w:rFonts w:ascii="Times New Roman" w:hAnsi="Times New Roman" w:eastAsia="黑体" w:cs="Times New Roman"/>
          <w:color w:val="auto"/>
          <w:sz w:val="32"/>
          <w:szCs w:val="32"/>
          <w:lang w:eastAsia="zh-CN" w:bidi="ar-SA"/>
        </w:rPr>
        <w:t>四、</w:t>
      </w:r>
      <w:r>
        <w:rPr>
          <w:rFonts w:ascii="Times New Roman" w:hAnsi="Times New Roman" w:eastAsia="黑体" w:cs="Times New Roman"/>
          <w:color w:val="auto"/>
          <w:sz w:val="32"/>
          <w:szCs w:val="32"/>
          <w:lang w:val="en-US" w:eastAsia="zh-CN" w:bidi="ar-SA"/>
        </w:rPr>
        <w:t>2024年推进法治政府建设的工作思路</w:t>
      </w: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left="0" w:firstLine="651" w:firstLineChars="200"/>
        <w:jc w:val="both"/>
        <w:textAlignment w:val="auto"/>
        <w:rPr>
          <w:rFonts w:ascii="Times New Roman" w:hAnsi="Times New Roman" w:eastAsia="楷体_GB2312" w:cs="Times New Roman"/>
          <w:b/>
          <w:bCs/>
          <w:spacing w:val="2"/>
          <w:sz w:val="32"/>
          <w:szCs w:val="32"/>
          <w:lang w:bidi="ar-SA"/>
        </w:rPr>
      </w:pPr>
      <w:bookmarkStart w:id="0" w:name="_GoBack"/>
      <w:bookmarkEnd w:id="0"/>
      <w:r>
        <w:rPr>
          <w:rFonts w:ascii="Times New Roman" w:hAnsi="Times New Roman" w:eastAsia="楷体_GB2312" w:cs="Times New Roman"/>
          <w:b/>
          <w:bCs/>
          <w:spacing w:val="2"/>
          <w:sz w:val="32"/>
          <w:szCs w:val="32"/>
          <w:lang w:val="en-US" w:eastAsia="zh-CN" w:bidi="ar-SA"/>
        </w:rPr>
        <w:t>在增强领导干部学法质效上持续用力，树牢法治意识。</w:t>
      </w:r>
      <w:r>
        <w:rPr>
          <w:rFonts w:ascii="Times New Roman" w:hAnsi="Times New Roman" w:eastAsia="仿宋_GB2312" w:cs="Times New Roman"/>
          <w:bCs/>
          <w:sz w:val="32"/>
          <w:szCs w:val="32"/>
          <w:lang w:bidi="ar-SA"/>
        </w:rPr>
        <w:t>研究</w:t>
      </w:r>
      <w:r>
        <w:rPr>
          <w:rFonts w:ascii="Times New Roman" w:hAnsi="Times New Roman" w:eastAsia="仿宋_GB2312" w:cs="Times New Roman"/>
          <w:sz w:val="32"/>
          <w:szCs w:val="32"/>
          <w:lang w:bidi="ar-SA"/>
        </w:rPr>
        <w:t>制定</w:t>
      </w:r>
      <w:r>
        <w:rPr>
          <w:rFonts w:ascii="Times New Roman" w:hAnsi="Times New Roman" w:eastAsia="仿宋_GB2312" w:cs="Times New Roman"/>
          <w:sz w:val="32"/>
          <w:szCs w:val="32"/>
          <w:lang w:val="en-US" w:eastAsia="zh-CN" w:bidi="ar-SA"/>
        </w:rPr>
        <w:t>师市领导干部应知应会党内法规和国家法律清单，建立健全领导干部学法用法激励机制，推动学法用法常态化、规范化。</w:t>
      </w:r>
      <w:r>
        <w:rPr>
          <w:rFonts w:ascii="Times New Roman" w:hAnsi="Times New Roman" w:eastAsia="仿宋_GB2312" w:cs="Times New Roman"/>
          <w:bCs/>
          <w:sz w:val="32"/>
          <w:szCs w:val="32"/>
          <w:lang w:bidi="ar-SA"/>
        </w:rPr>
        <w:t>常态化</w:t>
      </w:r>
      <w:r>
        <w:rPr>
          <w:rFonts w:ascii="Times New Roman" w:hAnsi="Times New Roman" w:eastAsia="仿宋_GB2312" w:cs="Times New Roman"/>
          <w:sz w:val="32"/>
          <w:szCs w:val="32"/>
          <w:lang w:bidi="ar-SA"/>
        </w:rPr>
        <w:t>实</w:t>
      </w:r>
      <w:r>
        <w:rPr>
          <w:rFonts w:ascii="Times New Roman" w:hAnsi="Times New Roman" w:eastAsia="仿宋_GB2312" w:cs="Times New Roman"/>
          <w:sz w:val="32"/>
          <w:szCs w:val="32"/>
          <w:lang w:val="en-US" w:eastAsia="zh-CN" w:bidi="ar-SA"/>
        </w:rPr>
        <w:t>施依法行政大培训工程，广泛开展法治培训，提升领导干部法律意识、法治素养和依法行政能力。从而进一步提升领导干部运用法治思维和法治方式深化改革，推动法治化解矛盾、维护稳定、应对风险的能力。</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51" w:firstLineChars="200"/>
        <w:jc w:val="both"/>
        <w:textAlignment w:val="auto"/>
        <w:rPr>
          <w:rFonts w:ascii="Times New Roman" w:hAnsi="Times New Roman" w:eastAsia="仿宋_GB2312" w:cs="Times New Roman"/>
          <w:sz w:val="32"/>
          <w:szCs w:val="32"/>
          <w:lang w:val="en-US" w:eastAsia="zh-CN"/>
        </w:rPr>
      </w:pPr>
      <w:r>
        <w:rPr>
          <w:rFonts w:ascii="Times New Roman" w:hAnsi="Times New Roman" w:eastAsia="楷体_GB2312" w:cs="Times New Roman"/>
          <w:b/>
          <w:bCs/>
          <w:spacing w:val="2"/>
          <w:sz w:val="32"/>
          <w:szCs w:val="32"/>
          <w:lang w:bidi="ar-SA"/>
        </w:rPr>
        <w:t>（二）在开展法治政府示范创建上持续用力，补齐短板弱项。</w:t>
      </w:r>
      <w:r>
        <w:rPr>
          <w:rFonts w:ascii="Times New Roman" w:hAnsi="Times New Roman" w:eastAsia="仿宋_GB2312" w:cs="Times New Roman"/>
          <w:bCs/>
          <w:sz w:val="32"/>
          <w:szCs w:val="32"/>
          <w:lang w:bidi="ar-SA"/>
        </w:rPr>
        <w:t>将持续与</w:t>
      </w:r>
      <w:r>
        <w:rPr>
          <w:rFonts w:ascii="Times New Roman" w:hAnsi="Times New Roman" w:eastAsia="仿宋_GB2312" w:cs="Times New Roman"/>
          <w:sz w:val="32"/>
          <w:szCs w:val="32"/>
          <w:lang w:bidi="ar-SA"/>
        </w:rPr>
        <w:t>北</w:t>
      </w:r>
      <w:r>
        <w:rPr>
          <w:rFonts w:ascii="Times New Roman" w:hAnsi="Times New Roman" w:eastAsia="仿宋_GB2312" w:cs="Times New Roman"/>
          <w:sz w:val="32"/>
          <w:szCs w:val="32"/>
          <w:lang w:val="en-US" w:eastAsia="zh-CN" w:bidi="ar-SA"/>
        </w:rPr>
        <w:t>京通州区的沟通对接，学习借鉴先进经验做法，深入开展法治政府示范创建工作，坚持问题导向，补齐法治政府建设各项短板和弱项，力</w:t>
      </w:r>
      <w:r>
        <w:rPr>
          <w:rFonts w:ascii="Times New Roman" w:hAnsi="Times New Roman" w:eastAsia="仿宋_GB2312" w:cs="Times New Roman"/>
          <w:sz w:val="32"/>
          <w:szCs w:val="32"/>
          <w:lang w:val="en-US" w:eastAsia="zh-CN"/>
        </w:rPr>
        <w:t>争2024年成功创建全国法治政府</w:t>
      </w:r>
      <w:r>
        <w:rPr>
          <w:rFonts w:hint="eastAsia" w:cs="Times New Roman"/>
          <w:sz w:val="32"/>
          <w:szCs w:val="32"/>
          <w:lang w:val="en-US" w:eastAsia="zh-CN"/>
        </w:rPr>
        <w:t>示范创建单项项目</w:t>
      </w:r>
      <w:r>
        <w:rPr>
          <w:rFonts w:ascii="Times New Roman" w:hAnsi="Times New Roman" w:cs="Times New Roman"/>
          <w:sz w:val="32"/>
          <w:szCs w:val="32"/>
          <w:lang w:val="en-US" w:eastAsia="zh-CN"/>
        </w:rPr>
        <w:t>。</w:t>
      </w:r>
    </w:p>
    <w:p>
      <w:pPr>
        <w:pStyle w:val="6"/>
        <w:keepNext w:val="0"/>
        <w:keepLines w:val="0"/>
        <w:pageBreakBefore w:val="0"/>
        <w:widowControl w:val="0"/>
        <w:kinsoku/>
        <w:wordWrap/>
        <w:overflowPunct/>
        <w:topLinePunct w:val="0"/>
        <w:autoSpaceDE/>
        <w:autoSpaceDN/>
        <w:bidi w:val="0"/>
        <w:spacing w:after="0" w:line="560" w:lineRule="exact"/>
        <w:ind w:left="0" w:leftChars="0" w:firstLine="651" w:firstLineChars="200"/>
        <w:textAlignment w:val="auto"/>
        <w:rPr>
          <w:rFonts w:ascii="Times New Roman" w:hAnsi="Times New Roman" w:cs="Times New Roman"/>
          <w:sz w:val="32"/>
          <w:szCs w:val="32"/>
          <w:lang w:val="en-US" w:eastAsia="zh-CN"/>
        </w:rPr>
      </w:pPr>
      <w:r>
        <w:rPr>
          <w:rFonts w:ascii="Times New Roman" w:hAnsi="Times New Roman" w:eastAsia="楷体_GB2312" w:cs="Times New Roman"/>
          <w:b/>
          <w:bCs/>
          <w:color w:val="auto"/>
          <w:spacing w:val="2"/>
          <w:sz w:val="32"/>
          <w:szCs w:val="32"/>
          <w:lang w:val="en-US" w:eastAsia="zh-CN"/>
        </w:rPr>
        <w:t>（三）</w:t>
      </w:r>
      <w:r>
        <w:rPr>
          <w:rFonts w:ascii="Times New Roman" w:hAnsi="Times New Roman" w:eastAsia="楷体_GB2312" w:cs="Times New Roman"/>
          <w:b/>
          <w:bCs/>
          <w:spacing w:val="2"/>
          <w:sz w:val="32"/>
          <w:szCs w:val="32"/>
          <w:lang w:val="en-US" w:eastAsia="zh-CN" w:bidi="ar-SA"/>
        </w:rPr>
        <w:t>在加强基层法治队伍建设上持续用力，夯实法治基础。</w:t>
      </w:r>
      <w:r>
        <w:rPr>
          <w:rFonts w:hint="default" w:ascii="Times New Roman" w:hAnsi="Times New Roman" w:cs="Times New Roman"/>
          <w:b w:val="0"/>
          <w:color w:val="auto"/>
          <w:sz w:val="32"/>
          <w:szCs w:val="32"/>
          <w:lang w:val="en-US" w:eastAsia="zh-CN"/>
        </w:rPr>
        <w:t>扎实开展“八五”普法</w:t>
      </w:r>
      <w:r>
        <w:rPr>
          <w:rFonts w:hint="eastAsia" w:cs="Times New Roman"/>
          <w:b w:val="0"/>
          <w:color w:val="auto"/>
          <w:sz w:val="32"/>
          <w:szCs w:val="32"/>
          <w:lang w:val="en-US" w:eastAsia="zh-CN"/>
        </w:rPr>
        <w:t>规划</w:t>
      </w:r>
      <w:r>
        <w:rPr>
          <w:rFonts w:hint="default" w:ascii="Times New Roman" w:hAnsi="Times New Roman" w:cs="Times New Roman"/>
          <w:b w:val="0"/>
          <w:color w:val="auto"/>
          <w:sz w:val="32"/>
          <w:szCs w:val="32"/>
          <w:lang w:val="en-US" w:eastAsia="zh-CN"/>
        </w:rPr>
        <w:t>，</w:t>
      </w:r>
      <w:r>
        <w:rPr>
          <w:rFonts w:hint="eastAsia" w:cs="Times New Roman"/>
          <w:b w:val="0"/>
          <w:color w:val="auto"/>
          <w:sz w:val="32"/>
          <w:szCs w:val="32"/>
          <w:lang w:val="en-US" w:eastAsia="zh-CN"/>
        </w:rPr>
        <w:t>加强</w:t>
      </w:r>
      <w:r>
        <w:rPr>
          <w:rFonts w:ascii="Times New Roman" w:hAnsi="Times New Roman" w:eastAsia="仿宋_GB2312" w:cs="Times New Roman"/>
          <w:spacing w:val="2"/>
          <w:sz w:val="32"/>
          <w:szCs w:val="32"/>
          <w:lang w:val="en-US" w:eastAsia="zh-CN"/>
        </w:rPr>
        <w:t>“法律明白人”、人民调解员、连队（社区）法律顾问</w:t>
      </w:r>
      <w:r>
        <w:rPr>
          <w:rFonts w:hint="eastAsia" w:cs="Times New Roman"/>
          <w:spacing w:val="2"/>
          <w:sz w:val="32"/>
          <w:szCs w:val="32"/>
          <w:lang w:val="en-US" w:eastAsia="zh-CN"/>
        </w:rPr>
        <w:t>的</w:t>
      </w:r>
      <w:r>
        <w:rPr>
          <w:rFonts w:ascii="Times New Roman" w:hAnsi="Times New Roman" w:eastAsia="仿宋_GB2312" w:cs="Times New Roman"/>
          <w:spacing w:val="2"/>
          <w:sz w:val="32"/>
          <w:szCs w:val="32"/>
          <w:lang w:val="en-US" w:eastAsia="zh-CN"/>
        </w:rPr>
        <w:t>培训，切实提高职工群众</w:t>
      </w:r>
      <w:r>
        <w:rPr>
          <w:rFonts w:hint="eastAsia" w:cs="Times New Roman"/>
          <w:spacing w:val="2"/>
          <w:sz w:val="32"/>
          <w:szCs w:val="32"/>
          <w:lang w:val="en-US" w:eastAsia="zh-CN"/>
        </w:rPr>
        <w:t>的</w:t>
      </w:r>
      <w:r>
        <w:rPr>
          <w:rFonts w:ascii="Times New Roman" w:hAnsi="Times New Roman" w:eastAsia="仿宋_GB2312" w:cs="Times New Roman"/>
          <w:spacing w:val="2"/>
          <w:sz w:val="32"/>
          <w:szCs w:val="32"/>
          <w:lang w:val="en-US" w:eastAsia="zh-CN"/>
        </w:rPr>
        <w:t>法治意识</w:t>
      </w:r>
      <w:r>
        <w:rPr>
          <w:rFonts w:hint="eastAsia" w:cs="Times New Roman"/>
          <w:spacing w:val="2"/>
          <w:sz w:val="32"/>
          <w:szCs w:val="32"/>
          <w:lang w:val="en-US" w:eastAsia="zh-CN"/>
        </w:rPr>
        <w:t>和法律素养。</w:t>
      </w:r>
    </w:p>
    <w:p>
      <w:pPr>
        <w:keepNext w:val="0"/>
        <w:keepLines w:val="0"/>
        <w:pageBreakBefore w:val="0"/>
        <w:kinsoku/>
        <w:wordWrap/>
        <w:overflowPunct/>
        <w:topLinePunct w:val="0"/>
        <w:autoSpaceDE/>
        <w:autoSpaceDN/>
        <w:bidi w:val="0"/>
        <w:spacing w:line="560" w:lineRule="exact"/>
        <w:textAlignment w:val="auto"/>
        <w:rPr>
          <w:sz w:val="32"/>
          <w:szCs w:val="32"/>
        </w:rPr>
      </w:pPr>
    </w:p>
    <w:sectPr>
      <w:footerReference r:id="rId3" w:type="default"/>
      <w:pgSz w:w="11907" w:h="16840"/>
      <w:pgMar w:top="1701" w:right="1531" w:bottom="1644" w:left="1588" w:header="851" w:footer="1134" w:gutter="0"/>
      <w:rtlGutter w:val="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书宋_GBK">
    <w:altName w:val="微软雅黑"/>
    <w:panose1 w:val="02000000000000000000"/>
    <w:charset w:val="86"/>
    <w:family w:val="script"/>
    <w:pitch w:val="default"/>
    <w:sig w:usb0="00000000" w:usb1="00000000" w:usb2="00082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3665" distR="113665" simplePos="0" relativeHeight="1024" behindDoc="0" locked="0" layoutInCell="1" allowOverlap="1">
              <wp:simplePos x="0" y="0"/>
              <wp:positionH relativeFrom="margin">
                <wp:align>outside</wp:align>
              </wp:positionH>
              <wp:positionV relativeFrom="paragraph">
                <wp:posOffset>-154305</wp:posOffset>
              </wp:positionV>
              <wp:extent cx="723900" cy="391160"/>
              <wp:effectExtent l="0" t="0" r="0" b="0"/>
              <wp:wrapNone/>
              <wp:docPr id="1" name="文本框 5"/>
              <wp:cNvGraphicFramePr/>
              <a:graphic xmlns:a="http://schemas.openxmlformats.org/drawingml/2006/main">
                <a:graphicData uri="http://schemas.microsoft.com/office/word/2010/wordprocessingShape">
                  <wps:wsp>
                    <wps:cNvSpPr/>
                    <wps:spPr>
                      <a:xfrm>
                        <a:off x="0" y="0"/>
                        <a:ext cx="723900" cy="391160"/>
                      </a:xfrm>
                      <a:prstGeom prst="rect">
                        <a:avLst/>
                      </a:prstGeom>
                      <a:noFill/>
                      <a:ln w="6350" cap="flat" cmpd="sng">
                        <a:noFill/>
                        <a:prstDash val="solid"/>
                        <a:round/>
                      </a:ln>
                    </wps:spPr>
                    <wps:txbx>
                      <w:txbxContent>
                        <w:p>
                          <w:pPr>
                            <w:pStyle w:val="5"/>
                            <w:rPr>
                              <w:rFonts w:hint="eastAsia" w:ascii="仿宋_GB2312" w:eastAsia="仿宋_GB2312" w:cs="仿宋_GB2312"/>
                              <w:sz w:val="28"/>
                              <w:szCs w:val="28"/>
                              <w:lang w:eastAsia="zh-CN"/>
                            </w:rPr>
                          </w:pPr>
                          <w:r>
                            <w:rPr>
                              <w:rFonts w:hint="eastAsia" w:ascii="宋体" w:eastAsia="宋体" w:cs="宋体"/>
                              <w:sz w:val="28"/>
                              <w:szCs w:val="28"/>
                              <w:lang w:eastAsia="zh-CN"/>
                            </w:rPr>
                            <w:t>—</w:t>
                          </w:r>
                          <w:r>
                            <w:rPr>
                              <w:rFonts w:hint="eastAsia" w:ascii="宋体" w:eastAsia="宋体" w:cs="宋体"/>
                              <w:sz w:val="28"/>
                              <w:szCs w:val="28"/>
                              <w:lang w:val="en-US" w:eastAsia="zh-CN"/>
                            </w:rPr>
                            <w:t xml:space="preserve"> </w:t>
                          </w:r>
                          <w:r>
                            <w:rPr>
                              <w:rFonts w:hint="eastAsia" w:ascii="宋体" w:eastAsia="宋体" w:cs="宋体"/>
                              <w:sz w:val="28"/>
                              <w:szCs w:val="28"/>
                              <w:lang w:eastAsia="zh-CN"/>
                            </w:rPr>
                            <w:fldChar w:fldCharType="begin"/>
                          </w:r>
                          <w:r>
                            <w:rPr>
                              <w:rFonts w:hint="eastAsia" w:ascii="宋体" w:eastAsia="宋体" w:cs="宋体"/>
                              <w:sz w:val="28"/>
                              <w:szCs w:val="28"/>
                              <w:lang w:eastAsia="zh-CN"/>
                            </w:rPr>
                            <w:instrText xml:space="preserve"> PAGE  \* MERGEFORMAT </w:instrText>
                          </w:r>
                          <w:r>
                            <w:rPr>
                              <w:rFonts w:hint="eastAsia" w:ascii="宋体" w:eastAsia="宋体" w:cs="宋体"/>
                              <w:sz w:val="28"/>
                              <w:szCs w:val="28"/>
                              <w:lang w:eastAsia="zh-CN"/>
                            </w:rPr>
                            <w:fldChar w:fldCharType="separate"/>
                          </w:r>
                          <w:r>
                            <w:rPr>
                              <w:rFonts w:hint="eastAsia" w:ascii="宋体" w:eastAsia="宋体" w:cs="宋体"/>
                              <w:sz w:val="28"/>
                              <w:szCs w:val="28"/>
                              <w:lang w:eastAsia="zh-CN"/>
                            </w:rPr>
                            <w:t>- 4 -</w:t>
                          </w:r>
                          <w:r>
                            <w:rPr>
                              <w:rFonts w:hint="eastAsia" w:ascii="宋体" w:eastAsia="宋体" w:cs="宋体"/>
                              <w:sz w:val="28"/>
                              <w:szCs w:val="28"/>
                              <w:lang w:eastAsia="zh-CN"/>
                            </w:rPr>
                            <w:fldChar w:fldCharType="end"/>
                          </w:r>
                          <w:r>
                            <w:rPr>
                              <w:rFonts w:hint="eastAsia" w:ascii="宋体" w:eastAsia="宋体" w:cs="宋体"/>
                              <w:sz w:val="28"/>
                              <w:szCs w:val="28"/>
                              <w:lang w:val="en-US" w:eastAsia="zh-CN"/>
                            </w:rPr>
                            <w:t xml:space="preserve"> </w:t>
                          </w:r>
                          <w:r>
                            <w:rPr>
                              <w:rFonts w:hint="eastAsia" w:ascii="宋体" w:eastAsia="宋体" w:cs="宋体"/>
                              <w:sz w:val="28"/>
                              <w:szCs w:val="28"/>
                              <w:lang w:eastAsia="zh-CN"/>
                            </w:rPr>
                            <w:t>—</w:t>
                          </w:r>
                        </w:p>
                      </w:txbxContent>
                    </wps:txbx>
                    <wps:bodyPr vert="horz" wrap="square" lIns="0" tIns="0" rIns="0" bIns="0" anchor="t" anchorCtr="0" upright="0">
                      <a:noAutofit/>
                    </wps:bodyPr>
                  </wps:wsp>
                </a:graphicData>
              </a:graphic>
            </wp:anchor>
          </w:drawing>
        </mc:Choice>
        <mc:Fallback>
          <w:pict>
            <v:rect id="文本框 5" o:spid="_x0000_s1026" o:spt="1" style="position:absolute;left:0pt;margin-top:-12.15pt;height:30.8pt;width:57pt;mso-position-horizontal:outside;mso-position-horizontal-relative:margin;z-index:1024;mso-width-relative:page;mso-height-relative:page;" filled="f" stroked="f" coordsize="21600,21600" o:gfxdata="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G4SxKNYA&#10;AAAHAQAADwAAAAAAAAABACAAAAAiAAAAZHJzL2Rvd25yZXYueG1sUEsBAhQAFAAAAAgAh07iQMPt&#10;DdnoAQAAqAMAAA4AAAAAAAAAAQAgAAAAJQEAAGRycy9lMm9Eb2MueG1sUEsFBgAAAAAGAAYAWQEA&#10;AH8FAAAAAA==&#10;">
              <v:fill on="f" focussize="0,0"/>
              <v:stroke on="f" weight="0.5pt" joinstyle="round"/>
              <v:imagedata o:title=""/>
              <o:lock v:ext="edit" aspectratio="f"/>
              <v:textbox inset="0mm,0mm,0mm,0mm">
                <w:txbxContent>
                  <w:p>
                    <w:pPr>
                      <w:pStyle w:val="5"/>
                      <w:rPr>
                        <w:rFonts w:hint="eastAsia" w:ascii="仿宋_GB2312" w:eastAsia="仿宋_GB2312" w:cs="仿宋_GB2312"/>
                        <w:sz w:val="28"/>
                        <w:szCs w:val="28"/>
                        <w:lang w:eastAsia="zh-CN"/>
                      </w:rPr>
                    </w:pPr>
                    <w:r>
                      <w:rPr>
                        <w:rFonts w:hint="eastAsia" w:ascii="宋体" w:eastAsia="宋体" w:cs="宋体"/>
                        <w:sz w:val="28"/>
                        <w:szCs w:val="28"/>
                        <w:lang w:eastAsia="zh-CN"/>
                      </w:rPr>
                      <w:t>—</w:t>
                    </w:r>
                    <w:r>
                      <w:rPr>
                        <w:rFonts w:hint="eastAsia" w:ascii="宋体" w:eastAsia="宋体" w:cs="宋体"/>
                        <w:sz w:val="28"/>
                        <w:szCs w:val="28"/>
                        <w:lang w:val="en-US" w:eastAsia="zh-CN"/>
                      </w:rPr>
                      <w:t xml:space="preserve"> </w:t>
                    </w:r>
                    <w:r>
                      <w:rPr>
                        <w:rFonts w:hint="eastAsia" w:ascii="宋体" w:eastAsia="宋体" w:cs="宋体"/>
                        <w:sz w:val="28"/>
                        <w:szCs w:val="28"/>
                        <w:lang w:eastAsia="zh-CN"/>
                      </w:rPr>
                      <w:fldChar w:fldCharType="begin"/>
                    </w:r>
                    <w:r>
                      <w:rPr>
                        <w:rFonts w:hint="eastAsia" w:ascii="宋体" w:eastAsia="宋体" w:cs="宋体"/>
                        <w:sz w:val="28"/>
                        <w:szCs w:val="28"/>
                        <w:lang w:eastAsia="zh-CN"/>
                      </w:rPr>
                      <w:instrText xml:space="preserve"> PAGE  \* MERGEFORMAT </w:instrText>
                    </w:r>
                    <w:r>
                      <w:rPr>
                        <w:rFonts w:hint="eastAsia" w:ascii="宋体" w:eastAsia="宋体" w:cs="宋体"/>
                        <w:sz w:val="28"/>
                        <w:szCs w:val="28"/>
                        <w:lang w:eastAsia="zh-CN"/>
                      </w:rPr>
                      <w:fldChar w:fldCharType="separate"/>
                    </w:r>
                    <w:r>
                      <w:rPr>
                        <w:rFonts w:hint="eastAsia" w:ascii="宋体" w:eastAsia="宋体" w:cs="宋体"/>
                        <w:sz w:val="28"/>
                        <w:szCs w:val="28"/>
                        <w:lang w:eastAsia="zh-CN"/>
                      </w:rPr>
                      <w:t>- 4 -</w:t>
                    </w:r>
                    <w:r>
                      <w:rPr>
                        <w:rFonts w:hint="eastAsia" w:ascii="宋体" w:eastAsia="宋体" w:cs="宋体"/>
                        <w:sz w:val="28"/>
                        <w:szCs w:val="28"/>
                        <w:lang w:eastAsia="zh-CN"/>
                      </w:rPr>
                      <w:fldChar w:fldCharType="end"/>
                    </w:r>
                    <w:r>
                      <w:rPr>
                        <w:rFonts w:hint="eastAsia" w:ascii="宋体" w:eastAsia="宋体" w:cs="宋体"/>
                        <w:sz w:val="28"/>
                        <w:szCs w:val="28"/>
                        <w:lang w:val="en-US" w:eastAsia="zh-CN"/>
                      </w:rPr>
                      <w:t xml:space="preserve"> </w:t>
                    </w:r>
                    <w:r>
                      <w:rPr>
                        <w:rFonts w:hint="eastAsia" w:ascii="宋体" w:eastAsia="宋体" w:cs="宋体"/>
                        <w:sz w:val="28"/>
                        <w:szCs w:val="28"/>
                        <w:lang w:eastAsia="zh-CN"/>
                      </w:rPr>
                      <w:t>—</w:t>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CA566F"/>
    <w:multiLevelType w:val="singleLevel"/>
    <w:tmpl w:val="8FCA566F"/>
    <w:lvl w:ilvl="0" w:tentative="0">
      <w:start w:val="1"/>
      <w:numFmt w:val="chineseCounting"/>
      <w:suff w:val="nothing"/>
      <w:lvlText w:val="（%1）"/>
      <w:lvlJc w:val="left"/>
      <w:pPr>
        <w:tabs>
          <w:tab w:val="left" w:pos="0"/>
        </w:tabs>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490C05"/>
    <w:rsid w:val="041E63A2"/>
    <w:rsid w:val="045E2D8E"/>
    <w:rsid w:val="05A4570D"/>
    <w:rsid w:val="0A6D2613"/>
    <w:rsid w:val="0A9E05EA"/>
    <w:rsid w:val="1061428A"/>
    <w:rsid w:val="11E47010"/>
    <w:rsid w:val="13A23E56"/>
    <w:rsid w:val="15BE7231"/>
    <w:rsid w:val="18F17AF4"/>
    <w:rsid w:val="19AC1CCE"/>
    <w:rsid w:val="1BDF1FD4"/>
    <w:rsid w:val="219B5DF6"/>
    <w:rsid w:val="233B425E"/>
    <w:rsid w:val="26655C2A"/>
    <w:rsid w:val="2CD825A0"/>
    <w:rsid w:val="37AE6B39"/>
    <w:rsid w:val="3E876FEE"/>
    <w:rsid w:val="42EB5D3F"/>
    <w:rsid w:val="45874AF5"/>
    <w:rsid w:val="47C4771C"/>
    <w:rsid w:val="48155592"/>
    <w:rsid w:val="487070F7"/>
    <w:rsid w:val="4FB667A5"/>
    <w:rsid w:val="53485953"/>
    <w:rsid w:val="592222F3"/>
    <w:rsid w:val="5C0B0571"/>
    <w:rsid w:val="5F1F21E5"/>
    <w:rsid w:val="61E0377F"/>
    <w:rsid w:val="65D03B3A"/>
    <w:rsid w:val="69EE6CD8"/>
    <w:rsid w:val="79213946"/>
    <w:rsid w:val="7A957B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仿宋_GB2312" w:cs="仿宋_GB2312"/>
      <w:snapToGrid w:val="0"/>
      <w:kern w:val="0"/>
      <w:sz w:val="32"/>
      <w:szCs w:val="32"/>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0"/>
    <w:pPr>
      <w:ind w:left="420"/>
    </w:pPr>
    <w:rPr>
      <w:rFonts w:ascii="等线" w:eastAsia="等线"/>
      <w:b/>
      <w:sz w:val="30"/>
      <w:szCs w:val="30"/>
    </w:rPr>
  </w:style>
  <w:style w:type="paragraph" w:styleId="3">
    <w:name w:val="Body Text Indent"/>
    <w:basedOn w:val="1"/>
    <w:qFormat/>
    <w:uiPriority w:val="0"/>
    <w:pPr>
      <w:spacing w:after="120"/>
      <w:ind w:left="200" w:leftChars="200"/>
    </w:pPr>
  </w:style>
  <w:style w:type="paragraph" w:styleId="4">
    <w:name w:val="Plain Text"/>
    <w:basedOn w:val="1"/>
    <w:qFormat/>
    <w:uiPriority w:val="0"/>
    <w:pPr>
      <w:widowControl w:val="0"/>
      <w:jc w:val="both"/>
    </w:pPr>
    <w:rPr>
      <w:rFonts w:ascii="方正书宋_GBK" w:eastAsia="方正书宋_GBK" w:cs="Times New Roman"/>
      <w:kern w:val="2"/>
      <w:sz w:val="21"/>
      <w:szCs w:val="20"/>
      <w:lang w:val="en-US" w:eastAsia="zh-CN"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Body Text First Indent 2"/>
    <w:basedOn w:val="3"/>
    <w:qFormat/>
    <w:uiPriority w:val="0"/>
    <w:pPr>
      <w:ind w:firstLine="420"/>
    </w:pPr>
    <w:rPr>
      <w:rFonts w:ascii="Times New Roman" w:hAnsi="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2024-03-05T06:44:00Z</dcterms:created>
  <dc:creator>Administrator</dc:creator>
  <cp:lastModifiedBy>Administrator</cp:lastModifiedBy>
  <cp:lastPrinted>2024-03-07T09:35:00Z</cp:lastPrinted>
  <dcterms:modified xsi:type="dcterms:W3CDTF">2024-03-08T02:01:32Z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