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rPr>
          <w:rFonts w:hint="eastAsia" w:ascii="仿宋_GB2312" w:hAnsi="仿宋" w:eastAsia="仿宋_GB2312"/>
          <w:sz w:val="32"/>
          <w:szCs w:val="32"/>
        </w:rPr>
      </w:pPr>
      <w:r>
        <w:rPr>
          <w:rFonts w:hint="eastAsia" w:ascii="仿宋_GB2312" w:hAnsi="仿宋" w:eastAsia="仿宋_GB2312"/>
          <w:sz w:val="32"/>
          <w:szCs w:val="32"/>
        </w:rPr>
        <w:t>附件一：</w:t>
      </w:r>
      <w:bookmarkStart w:id="0" w:name="OLE_LINK71"/>
      <w:bookmarkStart w:id="1" w:name="OLE_LINK72"/>
      <w:r>
        <w:rPr>
          <w:rFonts w:hint="eastAsia" w:ascii="仿宋_GB2312" w:hAnsi="仿宋" w:eastAsia="仿宋_GB2312"/>
          <w:sz w:val="32"/>
          <w:szCs w:val="32"/>
        </w:rPr>
        <w:t>行政处罚信息公示文书格式</w:t>
      </w:r>
      <w:bookmarkEnd w:id="0"/>
      <w:bookmarkEnd w:id="1"/>
    </w:p>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方正小标宋简体" w:hAnsi="黑体" w:eastAsia="方正小标宋简体"/>
          <w:sz w:val="32"/>
          <w:szCs w:val="32"/>
        </w:rPr>
      </w:pPr>
      <w:bookmarkStart w:id="2" w:name="OLE_LINK73"/>
      <w:r>
        <w:rPr>
          <w:rFonts w:hint="eastAsia" w:ascii="新宋体" w:hAnsi="新宋体" w:eastAsia="新宋体"/>
          <w:sz w:val="32"/>
          <w:szCs w:val="32"/>
        </w:rPr>
        <w:t>行政处罚信息摘要</w:t>
      </w:r>
      <w:bookmarkEnd w:id="2"/>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1"/>
        <w:gridCol w:w="951"/>
        <w:gridCol w:w="1975"/>
        <w:gridCol w:w="46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3877" w:type="dxa"/>
            <w:gridSpan w:val="3"/>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行政处罚决定书文号</w:t>
            </w:r>
          </w:p>
        </w:tc>
        <w:tc>
          <w:tcPr>
            <w:tcW w:w="4622"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rPr>
            </w:pPr>
            <w:r>
              <w:rPr>
                <w:rFonts w:hint="eastAsia" w:ascii="仿宋_GB2312" w:hAnsi="仿宋_GB2312" w:eastAsia="仿宋_GB2312" w:cs="仿宋_GB2312"/>
                <w:spacing w:val="0"/>
                <w:sz w:val="24"/>
                <w:szCs w:val="24"/>
                <w:lang w:val="en-US" w:eastAsia="zh-CN"/>
              </w:rPr>
              <w:t>第十四师</w:t>
            </w:r>
            <w:r>
              <w:rPr>
                <w:rFonts w:hint="eastAsia" w:ascii="仿宋_GB2312" w:hAnsi="仿宋_GB2312" w:eastAsia="仿宋_GB2312" w:cs="仿宋_GB2312"/>
                <w:spacing w:val="0"/>
                <w:sz w:val="24"/>
                <w:szCs w:val="24"/>
              </w:rPr>
              <w:t>市监处罚〔</w:t>
            </w:r>
            <w:r>
              <w:rPr>
                <w:rFonts w:hint="eastAsia" w:ascii="仿宋_GB2312" w:hAnsi="仿宋_GB2312" w:eastAsia="仿宋_GB2312" w:cs="仿宋_GB2312"/>
                <w:spacing w:val="0"/>
                <w:sz w:val="24"/>
                <w:szCs w:val="24"/>
                <w:u w:val="single"/>
                <w:lang w:val="en-US" w:eastAsia="zh-CN"/>
              </w:rPr>
              <w:t>2024</w:t>
            </w:r>
            <w:r>
              <w:rPr>
                <w:rFonts w:hint="eastAsia" w:ascii="仿宋_GB2312" w:hAnsi="仿宋_GB2312" w:eastAsia="仿宋_GB2312" w:cs="仿宋_GB2312"/>
                <w:spacing w:val="0"/>
                <w:sz w:val="24"/>
                <w:szCs w:val="24"/>
              </w:rPr>
              <w:t>〕</w:t>
            </w:r>
            <w:r>
              <w:rPr>
                <w:rFonts w:hint="eastAsia" w:ascii="仿宋_GB2312" w:hAnsi="仿宋_GB2312" w:eastAsia="仿宋_GB2312" w:cs="仿宋_GB2312"/>
                <w:spacing w:val="0"/>
                <w:sz w:val="24"/>
                <w:szCs w:val="24"/>
                <w:u w:val="single"/>
                <w:lang w:val="en-US" w:eastAsia="zh-CN"/>
              </w:rPr>
              <w:t>599</w:t>
            </w:r>
            <w:r>
              <w:rPr>
                <w:rFonts w:hint="eastAsia" w:ascii="仿宋_GB2312" w:hAnsi="仿宋_GB2312" w:eastAsia="仿宋_GB2312" w:cs="仿宋_GB2312"/>
                <w:spacing w:val="0"/>
                <w:sz w:val="24"/>
                <w:szCs w:val="24"/>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trPr>
        <w:tc>
          <w:tcPr>
            <w:tcW w:w="951" w:type="dxa"/>
            <w:vMerge w:val="restart"/>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bdr w:val="single" w:color="auto" w:sz="4" w:space="0"/>
              </w:rPr>
            </w:pPr>
          </w:p>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行政处罚当事人基本情况</w:t>
            </w:r>
          </w:p>
        </w:tc>
        <w:tc>
          <w:tcPr>
            <w:tcW w:w="951" w:type="dxa"/>
            <w:vMerge w:val="restart"/>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个人</w:t>
            </w:r>
          </w:p>
        </w:tc>
        <w:tc>
          <w:tcPr>
            <w:tcW w:w="1975"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bdr w:val="single" w:color="auto" w:sz="4" w:space="0"/>
              </w:rPr>
            </w:pPr>
            <w:r>
              <w:rPr>
                <w:rFonts w:hint="eastAsia" w:ascii="仿宋_GB2312" w:hAnsi="黑体" w:eastAsia="仿宋_GB2312"/>
                <w:sz w:val="24"/>
              </w:rPr>
              <w:t>姓名（名称）</w:t>
            </w:r>
          </w:p>
        </w:tc>
        <w:tc>
          <w:tcPr>
            <w:tcW w:w="4622"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bdr w:val="single" w:color="auto" w:sz="4" w:space="0"/>
                <w:lang w:val="en-US" w:eastAsia="zh-CN"/>
              </w:rPr>
            </w:pPr>
            <w:r>
              <w:rPr>
                <w:rFonts w:hint="eastAsia" w:ascii="仿宋_GB2312" w:hAnsi="黑体" w:eastAsia="仿宋_GB2312"/>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51"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1"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1975"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注册号</w:t>
            </w:r>
          </w:p>
        </w:tc>
        <w:tc>
          <w:tcPr>
            <w:tcW w:w="4622"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default" w:ascii="仿宋_GB2312" w:hAnsi="黑体" w:eastAsia="仿宋_GB2312"/>
                <w:sz w:val="24"/>
                <w:szCs w:val="24"/>
                <w:lang w:val="en-US" w:eastAsia="zh-CN"/>
              </w:rPr>
            </w:pPr>
            <w:r>
              <w:rPr>
                <w:rFonts w:hint="eastAsia" w:ascii="仿宋_GB2312" w:hAnsi="黑体" w:eastAsia="仿宋_GB2312"/>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51"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1" w:type="dxa"/>
            <w:vMerge w:val="restart"/>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单位</w:t>
            </w:r>
          </w:p>
        </w:tc>
        <w:tc>
          <w:tcPr>
            <w:tcW w:w="1975"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名称</w:t>
            </w:r>
          </w:p>
        </w:tc>
        <w:tc>
          <w:tcPr>
            <w:tcW w:w="4622"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ind w:firstLine="960" w:firstLineChars="400"/>
              <w:jc w:val="both"/>
              <w:rPr>
                <w:rFonts w:hint="default" w:ascii="仿宋_GB2312" w:hAnsi="黑体" w:eastAsia="仿宋_GB2312"/>
                <w:sz w:val="24"/>
                <w:szCs w:val="24"/>
                <w:lang w:val="en-US" w:eastAsia="zh-CN"/>
              </w:rPr>
            </w:pPr>
            <w:r>
              <w:rPr>
                <w:rFonts w:hint="eastAsia" w:ascii="仿宋_GB2312" w:hAnsi="黑体" w:eastAsia="仿宋_GB2312"/>
                <w:sz w:val="24"/>
                <w:lang w:val="en-US" w:eastAsia="zh-CN"/>
              </w:rPr>
              <w:t>昆玉市彩虹百货商店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951"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1"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1975"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注册号</w:t>
            </w:r>
          </w:p>
        </w:tc>
        <w:tc>
          <w:tcPr>
            <w:tcW w:w="4622"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lang w:val="en-US" w:eastAsia="zh-CN"/>
              </w:rPr>
            </w:pPr>
            <w:r>
              <w:rPr>
                <w:rFonts w:hint="default" w:ascii="仿宋_GB2312" w:hAnsi="黑体" w:eastAsia="仿宋_GB2312"/>
                <w:sz w:val="24"/>
                <w:lang w:val="en-US" w:eastAsia="zh-CN"/>
              </w:rPr>
              <w:t xml:space="preserve">92659009MA7ABT93X8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951"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1"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1975"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法定代表人（负责人）姓名</w:t>
            </w:r>
          </w:p>
        </w:tc>
        <w:tc>
          <w:tcPr>
            <w:tcW w:w="4622" w:type="dxa"/>
            <w:noWrap w:val="0"/>
            <w:vAlign w:val="center"/>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default" w:ascii="仿宋_GB2312" w:hAnsi="黑体" w:eastAsia="仿宋_GB2312"/>
                <w:sz w:val="24"/>
                <w:szCs w:val="24"/>
                <w:lang w:val="en-US" w:eastAsia="zh-CN"/>
              </w:rPr>
            </w:pPr>
            <w:r>
              <w:rPr>
                <w:rFonts w:hint="eastAsia" w:ascii="仿宋_GB2312" w:hAnsi="黑体" w:eastAsia="仿宋_GB2312"/>
                <w:sz w:val="24"/>
                <w:szCs w:val="24"/>
                <w:lang w:val="en-US" w:eastAsia="zh-CN"/>
              </w:rPr>
              <w:t>汤夕永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9" w:hRule="atLeast"/>
        </w:trPr>
        <w:tc>
          <w:tcPr>
            <w:tcW w:w="3877" w:type="dxa"/>
            <w:gridSpan w:val="3"/>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违法行为类型</w:t>
            </w:r>
          </w:p>
        </w:tc>
        <w:tc>
          <w:tcPr>
            <w:tcW w:w="4622"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tabs>
                <w:tab w:val="left" w:pos="219"/>
              </w:tabs>
              <w:wordWrap/>
              <w:overflowPunct/>
              <w:topLinePunct w:val="0"/>
              <w:bidi w:val="0"/>
              <w:spacing w:line="560" w:lineRule="exact"/>
              <w:jc w:val="left"/>
              <w:rPr>
                <w:rFonts w:hint="default" w:ascii="仿宋_GB2312" w:hAnsi="黑体" w:eastAsia="仿宋_GB2312"/>
                <w:sz w:val="24"/>
                <w:szCs w:val="24"/>
                <w:lang w:val="en-US" w:eastAsia="zh-CN"/>
              </w:rPr>
            </w:pPr>
            <w:r>
              <w:rPr>
                <w:rFonts w:hint="eastAsia" w:ascii="仿宋_GB2312" w:hAnsi="黑体" w:eastAsia="仿宋_GB2312"/>
                <w:sz w:val="24"/>
                <w:szCs w:val="24"/>
                <w:lang w:val="en-US" w:eastAsia="zh-CN"/>
              </w:rPr>
              <w:tab/>
            </w:r>
            <w:r>
              <w:rPr>
                <w:rFonts w:hint="eastAsia" w:ascii="仿宋_GB2312" w:hAnsi="仿宋_GB2312" w:eastAsia="仿宋_GB2312" w:cs="仿宋_GB2312"/>
                <w:color w:val="auto"/>
                <w:spacing w:val="0"/>
                <w:w w:val="100"/>
                <w:sz w:val="24"/>
                <w:szCs w:val="24"/>
                <w:highlight w:val="none"/>
              </w:rPr>
              <w:t>违反了</w:t>
            </w:r>
            <w:r>
              <w:rPr>
                <w:rFonts w:hint="eastAsia" w:ascii="仿宋_GB2312" w:hAnsi="仿宋_GB2312" w:eastAsia="仿宋_GB2312" w:cs="仿宋_GB2312"/>
                <w:color w:val="auto"/>
                <w:spacing w:val="0"/>
                <w:w w:val="100"/>
                <w:sz w:val="24"/>
                <w:szCs w:val="24"/>
                <w:highlight w:val="none"/>
                <w:lang w:val="en-US" w:eastAsia="zh-CN"/>
              </w:rPr>
              <w:t>《中华人民共和国市场主体登记管理条例》第三十五条和</w:t>
            </w:r>
            <w:r>
              <w:rPr>
                <w:rFonts w:hint="eastAsia" w:ascii="仿宋_GB2312" w:hAnsi="仿宋_GB2312" w:eastAsia="仿宋_GB2312" w:cs="仿宋_GB2312"/>
                <w:color w:val="auto"/>
                <w:spacing w:val="0"/>
                <w:w w:val="100"/>
                <w:sz w:val="24"/>
                <w:szCs w:val="24"/>
                <w:highlight w:val="none"/>
              </w:rPr>
              <w:t>《中华人民共和国市场主体登记管理条例实施细则》第六十三条第一款</w:t>
            </w:r>
            <w:r>
              <w:rPr>
                <w:rFonts w:hint="eastAsia" w:ascii="仿宋_GB2312" w:hAnsi="仿宋_GB2312" w:eastAsia="仿宋_GB2312" w:cs="仿宋_GB2312"/>
                <w:color w:val="auto"/>
                <w:spacing w:val="0"/>
                <w:w w:val="100"/>
                <w:sz w:val="24"/>
                <w:szCs w:val="24"/>
                <w:highlight w:val="none"/>
              </w:rPr>
              <w:t>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3877" w:type="dxa"/>
            <w:gridSpan w:val="3"/>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行政处罚内容</w:t>
            </w:r>
          </w:p>
        </w:tc>
        <w:tc>
          <w:tcPr>
            <w:tcW w:w="4622"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both"/>
              <w:rPr>
                <w:rFonts w:hint="default" w:ascii="仿宋_GB2312" w:hAnsi="黑体" w:eastAsia="仿宋_GB2312"/>
                <w:sz w:val="24"/>
                <w:szCs w:val="24"/>
                <w:lang w:val="en-US" w:eastAsia="zh-CN"/>
              </w:rPr>
            </w:pPr>
            <w:r>
              <w:rPr>
                <w:rFonts w:hint="default" w:ascii="仿宋_GB2312" w:hAnsi="仿宋_GB2312" w:eastAsia="仿宋_GB2312" w:cs="仿宋_GB2312"/>
                <w:color w:val="auto"/>
                <w:spacing w:val="0"/>
                <w:w w:val="100"/>
                <w:sz w:val="24"/>
                <w:szCs w:val="24"/>
                <w:highlight w:val="none"/>
                <w:lang w:val="en-US" w:eastAsia="zh-CN"/>
              </w:rPr>
              <w:t>处罚款2</w:t>
            </w:r>
            <w:r>
              <w:rPr>
                <w:rFonts w:hint="eastAsia" w:ascii="仿宋_GB2312" w:hAnsi="仿宋_GB2312" w:eastAsia="仿宋_GB2312" w:cs="仿宋_GB2312"/>
                <w:color w:val="auto"/>
                <w:spacing w:val="0"/>
                <w:w w:val="100"/>
                <w:sz w:val="24"/>
                <w:szCs w:val="24"/>
                <w:highlight w:val="none"/>
                <w:lang w:val="en-US" w:eastAsia="zh-CN"/>
              </w:rPr>
              <w:t>727</w:t>
            </w:r>
            <w:r>
              <w:rPr>
                <w:rFonts w:hint="default" w:ascii="仿宋_GB2312" w:hAnsi="仿宋_GB2312" w:eastAsia="仿宋_GB2312" w:cs="仿宋_GB2312"/>
                <w:color w:val="auto"/>
                <w:spacing w:val="0"/>
                <w:w w:val="100"/>
                <w:sz w:val="24"/>
                <w:szCs w:val="24"/>
                <w:highlight w:val="none"/>
                <w:lang w:val="en-US" w:eastAsia="zh-CN"/>
              </w:rPr>
              <w:t>元（贰仟柒佰贰拾柒元）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3877" w:type="dxa"/>
            <w:gridSpan w:val="3"/>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作出行政处罚决定机关名称</w:t>
            </w:r>
          </w:p>
        </w:tc>
        <w:tc>
          <w:tcPr>
            <w:tcW w:w="4622"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lang w:eastAsia="zh-CN"/>
              </w:rPr>
            </w:pPr>
            <w:r>
              <w:rPr>
                <w:rFonts w:hint="eastAsia" w:ascii="仿宋_GB2312" w:hAnsi="黑体" w:eastAsia="仿宋_GB2312"/>
                <w:sz w:val="24"/>
                <w:szCs w:val="24"/>
                <w:lang w:eastAsia="zh-CN"/>
              </w:rPr>
              <w:t>第十四师市场监督管理局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3877" w:type="dxa"/>
            <w:gridSpan w:val="3"/>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作出行政处罚决定日期</w:t>
            </w:r>
          </w:p>
        </w:tc>
        <w:tc>
          <w:tcPr>
            <w:tcW w:w="4622"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lang w:eastAsia="zh-CN"/>
              </w:rPr>
            </w:pPr>
            <w:r>
              <w:rPr>
                <w:rFonts w:hint="eastAsia" w:ascii="仿宋_GB2312" w:hAnsi="黑体" w:eastAsia="仿宋_GB2312"/>
                <w:sz w:val="24"/>
                <w:szCs w:val="24"/>
                <w:lang w:eastAsia="zh-CN"/>
              </w:rPr>
              <w:t>202</w:t>
            </w:r>
            <w:r>
              <w:rPr>
                <w:rFonts w:hint="eastAsia" w:ascii="仿宋_GB2312" w:hAnsi="黑体" w:eastAsia="仿宋_GB2312"/>
                <w:sz w:val="24"/>
                <w:szCs w:val="24"/>
                <w:lang w:val="en-US" w:eastAsia="zh-CN"/>
              </w:rPr>
              <w:t>4</w:t>
            </w:r>
            <w:r>
              <w:rPr>
                <w:rFonts w:hint="eastAsia" w:ascii="仿宋_GB2312" w:hAnsi="黑体" w:eastAsia="仿宋_GB2312"/>
                <w:sz w:val="24"/>
                <w:szCs w:val="24"/>
                <w:lang w:eastAsia="zh-CN"/>
              </w:rPr>
              <w:t>年</w:t>
            </w:r>
            <w:r>
              <w:rPr>
                <w:rFonts w:hint="eastAsia" w:ascii="仿宋_GB2312" w:hAnsi="黑体" w:eastAsia="仿宋_GB2312"/>
                <w:sz w:val="24"/>
                <w:szCs w:val="24"/>
                <w:lang w:val="en-US" w:eastAsia="zh-CN"/>
              </w:rPr>
              <w:t>12</w:t>
            </w:r>
            <w:bookmarkStart w:id="4" w:name="_GoBack"/>
            <w:bookmarkEnd w:id="4"/>
            <w:r>
              <w:rPr>
                <w:rFonts w:hint="eastAsia" w:ascii="仿宋_GB2312" w:hAnsi="黑体" w:eastAsia="仿宋_GB2312"/>
                <w:sz w:val="24"/>
                <w:szCs w:val="24"/>
                <w:lang w:val="en-US" w:eastAsia="zh-CN"/>
              </w:rPr>
              <w:t>月23</w:t>
            </w:r>
            <w:r>
              <w:rPr>
                <w:rFonts w:hint="eastAsia" w:ascii="仿宋_GB2312" w:hAnsi="黑体" w:eastAsia="仿宋_GB2312"/>
                <w:sz w:val="24"/>
                <w:szCs w:val="24"/>
                <w:lang w:eastAsia="zh-CN"/>
              </w:rPr>
              <w:t>日</w:t>
            </w:r>
          </w:p>
        </w:tc>
      </w:tr>
    </w:tbl>
    <w:p>
      <w:pPr>
        <w:keepNext w:val="0"/>
        <w:keepLines w:val="0"/>
        <w:pageBreakBefore w:val="0"/>
        <w:widowControl/>
        <w:kinsoku/>
        <w:wordWrap/>
        <w:overflowPunct/>
        <w:topLinePunct/>
        <w:autoSpaceDE w:val="0"/>
        <w:autoSpaceDN/>
        <w:bidi w:val="0"/>
        <w:adjustRightInd/>
        <w:snapToGrid/>
        <w:spacing w:line="560" w:lineRule="exact"/>
        <w:ind w:left="0" w:right="0"/>
        <w:jc w:val="both"/>
        <w:textAlignment w:val="auto"/>
        <w:rPr>
          <w:rFonts w:hint="eastAsia" w:ascii="方正小标宋简体" w:hAnsi="方正小标宋简体" w:eastAsia="方正小标宋简体" w:cs="方正小标宋简体"/>
          <w:bCs/>
          <w:color w:val="auto"/>
          <w:sz w:val="44"/>
          <w:szCs w:val="44"/>
          <w:highlight w:val="none"/>
          <w:u w:val="none"/>
          <w:lang w:eastAsia="zh-CN"/>
        </w:rPr>
      </w:pPr>
    </w:p>
    <w:p>
      <w:pPr>
        <w:keepNext w:val="0"/>
        <w:keepLines w:val="0"/>
        <w:pageBreakBefore w:val="0"/>
        <w:widowControl/>
        <w:kinsoku/>
        <w:wordWrap/>
        <w:overflowPunct/>
        <w:topLinePunct/>
        <w:autoSpaceDE w:val="0"/>
        <w:autoSpaceDN/>
        <w:bidi w:val="0"/>
        <w:adjustRightInd/>
        <w:snapToGrid/>
        <w:spacing w:line="560" w:lineRule="exact"/>
        <w:ind w:left="0" w:right="0"/>
        <w:jc w:val="center"/>
        <w:textAlignment w:val="auto"/>
        <w:rPr>
          <w:rFonts w:hint="eastAsia" w:ascii="方正小标宋简体" w:hAnsi="方正小标宋简体" w:eastAsia="方正小标宋简体" w:cs="方正小标宋简体"/>
          <w:bCs/>
          <w:color w:val="auto"/>
          <w:sz w:val="44"/>
          <w:szCs w:val="44"/>
          <w:highlight w:val="none"/>
          <w:u w:val="none"/>
          <w:lang w:eastAsia="zh-CN"/>
        </w:rPr>
      </w:pPr>
    </w:p>
    <w:p>
      <w:pPr>
        <w:pStyle w:val="2"/>
        <w:rPr>
          <w:rFonts w:hint="eastAsia" w:ascii="方正小标宋简体" w:hAnsi="方正小标宋简体" w:eastAsia="方正小标宋简体" w:cs="方正小标宋简体"/>
          <w:bCs/>
          <w:color w:val="auto"/>
          <w:sz w:val="44"/>
          <w:szCs w:val="44"/>
          <w:highlight w:val="none"/>
          <w:u w:val="none"/>
          <w:lang w:eastAsia="zh-CN"/>
        </w:rPr>
      </w:pPr>
    </w:p>
    <w:p>
      <w:pPr>
        <w:pStyle w:val="2"/>
        <w:ind w:left="0" w:leftChars="0" w:firstLine="0" w:firstLineChars="0"/>
        <w:rPr>
          <w:rFonts w:hint="eastAsia" w:ascii="方正小标宋简体" w:hAnsi="方正小标宋简体" w:eastAsia="方正小标宋简体" w:cs="方正小标宋简体"/>
          <w:bCs/>
          <w:color w:val="auto"/>
          <w:sz w:val="44"/>
          <w:szCs w:val="44"/>
          <w:highlight w:val="none"/>
          <w:u w:val="none"/>
          <w:lang w:eastAsia="zh-CN"/>
        </w:rPr>
      </w:pPr>
    </w:p>
    <w:p>
      <w:pPr>
        <w:keepNext w:val="0"/>
        <w:keepLines w:val="0"/>
        <w:pageBreakBefore w:val="0"/>
        <w:widowControl/>
        <w:kinsoku/>
        <w:wordWrap/>
        <w:overflowPunct/>
        <w:topLinePunct/>
        <w:autoSpaceDE w:val="0"/>
        <w:autoSpaceDN/>
        <w:bidi w:val="0"/>
        <w:adjustRightInd/>
        <w:snapToGrid/>
        <w:spacing w:line="560" w:lineRule="exact"/>
        <w:ind w:left="0" w:right="0"/>
        <w:jc w:val="center"/>
        <w:textAlignment w:val="auto"/>
        <w:rPr>
          <w:rFonts w:hint="eastAsia" w:ascii="方正小标宋简体" w:hAnsi="方正小标宋简体" w:eastAsia="方正小标宋简体" w:cs="方正小标宋简体"/>
          <w:bCs/>
          <w:color w:val="auto"/>
          <w:sz w:val="44"/>
          <w:szCs w:val="44"/>
          <w:highlight w:val="none"/>
          <w:u w:val="none"/>
          <w:lang w:eastAsia="zh-CN"/>
        </w:rPr>
      </w:pPr>
    </w:p>
    <w:p>
      <w:pPr>
        <w:keepNext w:val="0"/>
        <w:keepLines w:val="0"/>
        <w:pageBreakBefore w:val="0"/>
        <w:widowControl/>
        <w:kinsoku/>
        <w:wordWrap/>
        <w:overflowPunct/>
        <w:topLinePunct/>
        <w:autoSpaceDE w:val="0"/>
        <w:autoSpaceDN/>
        <w:bidi w:val="0"/>
        <w:adjustRightInd/>
        <w:snapToGrid/>
        <w:spacing w:line="560" w:lineRule="exact"/>
        <w:ind w:left="0" w:right="0"/>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bCs/>
          <w:color w:val="auto"/>
          <w:sz w:val="44"/>
          <w:szCs w:val="44"/>
          <w:highlight w:val="none"/>
          <w:u w:val="none"/>
          <w:lang w:eastAsia="zh-CN"/>
        </w:rPr>
        <w:t>第十四师</w:t>
      </w:r>
      <w:r>
        <w:rPr>
          <w:rFonts w:hint="eastAsia" w:ascii="方正小标宋简体" w:hAnsi="方正小标宋简体" w:eastAsia="方正小标宋简体" w:cs="方正小标宋简体"/>
          <w:bCs/>
          <w:color w:val="auto"/>
          <w:sz w:val="44"/>
          <w:szCs w:val="44"/>
          <w:highlight w:val="none"/>
        </w:rPr>
        <w:t>市场监督管理局</w:t>
      </w:r>
    </w:p>
    <w:p>
      <w:pPr>
        <w:keepNext w:val="0"/>
        <w:keepLines w:val="0"/>
        <w:pageBreakBefore w:val="0"/>
        <w:widowControl/>
        <w:kinsoku/>
        <w:wordWrap/>
        <w:overflowPunct/>
        <w:topLinePunct/>
        <w:autoSpaceDE w:val="0"/>
        <w:autoSpaceDN/>
        <w:bidi w:val="0"/>
        <w:adjustRightInd/>
        <w:snapToGrid/>
        <w:spacing w:line="560" w:lineRule="exact"/>
        <w:ind w:left="0" w:right="0"/>
        <w:jc w:val="center"/>
        <w:textAlignment w:val="auto"/>
        <w:rPr>
          <w:rFonts w:hint="eastAsia"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行政处罚决定书</w:t>
      </w:r>
    </w:p>
    <w:p>
      <w:pPr>
        <w:widowControl/>
        <w:snapToGrid w:val="0"/>
        <w:spacing w:line="560" w:lineRule="exact"/>
        <w:ind w:right="55"/>
        <w:jc w:val="center"/>
        <w:outlineLvl w:val="1"/>
        <w:rPr>
          <w:rFonts w:hint="default"/>
        </w:rPr>
      </w:pPr>
      <w:bookmarkStart w:id="3" w:name="tAj_wh"/>
      <w:r>
        <w:rPr>
          <w:rFonts w:hint="eastAsia" w:ascii="仿宋_GB2312" w:hAnsi="仿宋_GB2312" w:eastAsia="仿宋_GB2312" w:cs="仿宋_GB2312"/>
          <w:color w:val="auto"/>
          <w:sz w:val="32"/>
          <w:szCs w:val="32"/>
        </w:rPr>
        <w:t>十四师市监处罚〔2024〕</w:t>
      </w:r>
      <w:r>
        <w:rPr>
          <w:rFonts w:hint="eastAsia" w:ascii="仿宋_GB2312" w:hAnsi="仿宋_GB2312" w:eastAsia="仿宋_GB2312" w:cs="仿宋_GB2312"/>
          <w:color w:val="auto"/>
          <w:sz w:val="32"/>
          <w:szCs w:val="32"/>
          <w:lang w:val="en-US" w:eastAsia="zh-CN"/>
        </w:rPr>
        <w:t>599</w:t>
      </w:r>
      <w:r>
        <w:rPr>
          <w:rFonts w:hint="eastAsia" w:ascii="仿宋_GB2312" w:hAnsi="仿宋_GB2312" w:eastAsia="仿宋_GB2312" w:cs="仿宋_GB2312"/>
          <w:color w:val="auto"/>
          <w:sz w:val="32"/>
          <w:szCs w:val="32"/>
        </w:rPr>
        <w:t>号</w:t>
      </w:r>
      <w:bookmarkEnd w:id="3"/>
      <w:r>
        <w:rPr>
          <w:rFonts w:hint="eastAsia" w:ascii="仿宋_GB2312" w:hAnsi="仿宋_GB2312" w:eastAsia="仿宋_GB2312" w:cs="仿宋_GB2312"/>
          <w:color w:val="auto"/>
          <w:sz w:val="32"/>
          <w:szCs w:val="32"/>
          <w:highlight w:val="none"/>
        </w:rPr>
        <mc:AlternateContent>
          <mc:Choice Requires="wps">
            <w:drawing>
              <wp:anchor distT="0" distB="0" distL="0" distR="0" simplePos="0" relativeHeight="251659264" behindDoc="0" locked="0" layoutInCell="1" allowOverlap="1">
                <wp:simplePos x="0" y="0"/>
                <wp:positionH relativeFrom="column">
                  <wp:posOffset>25400</wp:posOffset>
                </wp:positionH>
                <wp:positionV relativeFrom="paragraph">
                  <wp:posOffset>20802600</wp:posOffset>
                </wp:positionV>
                <wp:extent cx="5761990" cy="1270"/>
                <wp:effectExtent l="9525" t="9525" r="19685" b="14605"/>
                <wp:wrapNone/>
                <wp:docPr id="1026" name="直接箭头连接符 10"/>
                <wp:cNvGraphicFramePr/>
                <a:graphic xmlns:a="http://schemas.openxmlformats.org/drawingml/2006/main">
                  <a:graphicData uri="http://schemas.microsoft.com/office/word/2010/wordprocessingShape">
                    <wps:wsp>
                      <wps:cNvCnPr/>
                      <wps:spPr>
                        <a:xfrm>
                          <a:off x="0" y="0"/>
                          <a:ext cx="5761990" cy="1269"/>
                        </a:xfrm>
                        <a:prstGeom prst="straightConnector1">
                          <a:avLst/>
                        </a:prstGeom>
                        <a:ln w="19050" cap="sq" cmpd="sng">
                          <a:solidFill>
                            <a:srgbClr val="000000"/>
                          </a:solidFill>
                          <a:prstDash val="solid"/>
                          <a:round/>
                          <a:headEnd type="none" w="med" len="med"/>
                          <a:tailEnd type="none" w="med" len="med"/>
                        </a:ln>
                      </wps:spPr>
                      <wps:bodyPr/>
                    </wps:wsp>
                  </a:graphicData>
                </a:graphic>
              </wp:anchor>
            </w:drawing>
          </mc:Choice>
          <mc:Fallback>
            <w:pict>
              <v:shape id="直接箭头连接符 10" o:spid="_x0000_s1026" o:spt="32" type="#_x0000_t32" style="position:absolute;left:0pt;margin-left:2pt;margin-top:1638pt;height:0.1pt;width:453.7pt;z-index:251659264;mso-width-relative:page;mso-height-relative:page;" filled="f" stroked="t" coordsize="21600,21600" o:gfxdata="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LXiia2gAAAAsBAAAPAAAAAAAAAAEAIAAAACIAAABk&#10;cnMvZG93bnJldi54bWxQSwECFAAUAAAACACHTuJA3l6z4wQCAAD8AwAADgAAAAAAAAABACAAAAAp&#10;AQAAZHJzL2Uyb0RvYy54bWxQSwUGAAAAAAYABgBZAQAAnwUAAAAA&#10;">
                <v:fill on="f" focussize="0,0"/>
                <v:stroke weight="1.5pt" color="#000000" joinstyle="round" endcap="square"/>
                <v:imagedata o:title=""/>
                <o:lock v:ext="edit" aspectratio="f"/>
              </v:shape>
            </w:pict>
          </mc:Fallback>
        </mc:AlternateContent>
      </w:r>
    </w:p>
    <w:p>
      <w:pPr>
        <w:keepNext w:val="0"/>
        <w:keepLines w:val="0"/>
        <w:pageBreakBefore w:val="0"/>
        <w:widowControl w:val="0"/>
        <w:kinsoku/>
        <w:wordWrap/>
        <w:overflowPunct/>
        <w:autoSpaceDE/>
        <w:autoSpaceDN/>
        <w:bidi w:val="0"/>
        <w:adjustRightInd/>
        <w:snapToGrid/>
        <w:spacing w:line="560" w:lineRule="exact"/>
        <w:textAlignment w:val="auto"/>
        <w:rPr>
          <w:rFonts w:hint="default" w:ascii="Times New Roman" w:hAnsi="Times New Roman" w:eastAsia="仿宋_GB2312" w:cs="Times New Roman"/>
          <w:color w:val="auto"/>
          <w:spacing w:val="0"/>
          <w:w w:val="100"/>
          <w:sz w:val="32"/>
          <w:szCs w:val="32"/>
          <w:highlight w:val="none"/>
          <w:lang w:val="en-US" w:eastAsia="zh-CN"/>
        </w:rPr>
      </w:pPr>
      <w:r>
        <w:rPr>
          <w:rFonts w:hint="default" w:ascii="Times New Roman" w:hAnsi="Times New Roman" w:eastAsia="仿宋_GB2312" w:cs="Times New Roman"/>
          <w:sz w:val="32"/>
          <w:szCs w:val="32"/>
          <w:lang w:val="en-US" w:eastAsia="zh-CN"/>
        </w:rPr>
        <w:t>当事人：</w:t>
      </w:r>
      <w:r>
        <w:rPr>
          <w:rFonts w:hint="eastAsia" w:ascii="Times New Roman" w:hAnsi="Times New Roman" w:eastAsia="仿宋_GB2312" w:cs="Times New Roman"/>
          <w:color w:val="auto"/>
          <w:spacing w:val="0"/>
          <w:w w:val="100"/>
          <w:sz w:val="32"/>
          <w:szCs w:val="32"/>
          <w:highlight w:val="none"/>
          <w:u w:val="single"/>
          <w:lang w:val="en-US" w:eastAsia="zh-CN"/>
        </w:rPr>
        <w:t xml:space="preserve"> 昆玉市彩虹百货商店                            </w:t>
      </w:r>
    </w:p>
    <w:p>
      <w:pPr>
        <w:keepNext w:val="0"/>
        <w:keepLines w:val="0"/>
        <w:pageBreakBefore w:val="0"/>
        <w:widowControl w:val="0"/>
        <w:kinsoku/>
        <w:wordWrap/>
        <w:overflowPunct/>
        <w:autoSpaceDE/>
        <w:autoSpaceDN/>
        <w:bidi w:val="0"/>
        <w:adjustRightInd/>
        <w:snapToGrid/>
        <w:spacing w:line="56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auto"/>
          <w:spacing w:val="0"/>
          <w:w w:val="100"/>
          <w:sz w:val="32"/>
          <w:szCs w:val="32"/>
          <w:highlight w:val="none"/>
        </w:rPr>
        <w:t>主体资格证照名称：</w:t>
      </w:r>
      <w:r>
        <w:rPr>
          <w:rFonts w:hint="default" w:ascii="Times New Roman" w:hAnsi="Times New Roman" w:eastAsia="仿宋_GB2312" w:cs="Times New Roman"/>
          <w:color w:val="auto"/>
          <w:spacing w:val="0"/>
          <w:w w:val="100"/>
          <w:sz w:val="32"/>
          <w:szCs w:val="32"/>
          <w:highlight w:val="none"/>
          <w:u w:val="single"/>
        </w:rPr>
        <w:t xml:space="preserve">营业执照 </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pPr>
        <w:keepNext w:val="0"/>
        <w:keepLines w:val="0"/>
        <w:pageBreakBefore w:val="0"/>
        <w:widowControl w:val="0"/>
        <w:kinsoku/>
        <w:wordWrap/>
        <w:overflowPunct/>
        <w:autoSpaceDE/>
        <w:autoSpaceDN/>
        <w:bidi w:val="0"/>
        <w:adjustRightInd/>
        <w:snapToGrid/>
        <w:spacing w:line="56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auto"/>
          <w:spacing w:val="0"/>
          <w:w w:val="100"/>
          <w:sz w:val="32"/>
          <w:szCs w:val="32"/>
          <w:highlight w:val="none"/>
        </w:rPr>
        <w:t>统一社会信用代码：</w:t>
      </w:r>
      <w:r>
        <w:rPr>
          <w:rFonts w:hint="default" w:ascii="Times New Roman" w:hAnsi="Times New Roman" w:eastAsia="仿宋_GB2312" w:cs="Times New Roman"/>
          <w:color w:val="auto"/>
          <w:spacing w:val="0"/>
          <w:w w:val="100"/>
          <w:sz w:val="32"/>
          <w:szCs w:val="32"/>
          <w:u w:val="single" w:color="auto"/>
          <w:lang w:val="en-US" w:eastAsia="zh-CN"/>
        </w:rPr>
        <w:t>92659009MA7ABT93X8</w:t>
      </w:r>
      <w:r>
        <w:rPr>
          <w:rFonts w:hint="default" w:ascii="Times New Roman" w:hAnsi="Times New Roman" w:eastAsia="仿宋_GB2312" w:cs="Times New Roman"/>
          <w:color w:val="auto"/>
          <w:spacing w:val="0"/>
          <w:w w:val="100"/>
          <w:sz w:val="32"/>
          <w:szCs w:val="32"/>
          <w:highlight w:val="none"/>
          <w:u w:val="single" w:color="auto"/>
        </w:rPr>
        <w:t xml:space="preserve"> </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pPr>
        <w:keepNext w:val="0"/>
        <w:keepLines w:val="0"/>
        <w:pageBreakBefore w:val="0"/>
        <w:widowControl w:val="0"/>
        <w:kinsoku/>
        <w:wordWrap/>
        <w:overflowPunct/>
        <w:autoSpaceDE/>
        <w:autoSpaceDN/>
        <w:bidi w:val="0"/>
        <w:adjustRightInd/>
        <w:snapToGrid/>
        <w:spacing w:line="560" w:lineRule="exact"/>
        <w:textAlignment w:val="auto"/>
        <w:rPr>
          <w:rFonts w:hint="default" w:ascii="Times New Roman" w:hAnsi="Times New Roman" w:eastAsia="仿宋_GB2312" w:cs="Times New Roman"/>
          <w:color w:val="auto"/>
          <w:spacing w:val="0"/>
          <w:w w:val="100"/>
          <w:sz w:val="32"/>
          <w:szCs w:val="32"/>
          <w:highlight w:val="none"/>
          <w:u w:val="single"/>
          <w:lang w:val="en-US"/>
        </w:rPr>
      </w:pPr>
      <w:r>
        <w:rPr>
          <w:rFonts w:hint="eastAsia" w:ascii="Times New Roman" w:hAnsi="Times New Roman" w:eastAsia="仿宋_GB2312" w:cs="Times New Roman"/>
          <w:color w:val="auto"/>
          <w:spacing w:val="0"/>
          <w:w w:val="100"/>
          <w:sz w:val="32"/>
          <w:szCs w:val="32"/>
          <w:highlight w:val="none"/>
          <w:lang w:val="en-US" w:eastAsia="zh-CN"/>
        </w:rPr>
        <w:t>经营场所</w:t>
      </w:r>
      <w:r>
        <w:rPr>
          <w:rFonts w:hint="default" w:ascii="Times New Roman" w:hAnsi="Times New Roman" w:eastAsia="仿宋_GB2312" w:cs="Times New Roman"/>
          <w:color w:val="auto"/>
          <w:spacing w:val="0"/>
          <w:w w:val="100"/>
          <w:sz w:val="32"/>
          <w:szCs w:val="32"/>
          <w:highlight w:val="none"/>
        </w:rPr>
        <w:t>：</w:t>
      </w:r>
      <w:r>
        <w:rPr>
          <w:rFonts w:hint="default" w:ascii="Times New Roman" w:hAnsi="Times New Roman" w:eastAsia="仿宋_GB2312" w:cs="Times New Roman"/>
          <w:color w:val="auto"/>
          <w:spacing w:val="0"/>
          <w:w w:val="100"/>
          <w:sz w:val="32"/>
          <w:szCs w:val="32"/>
          <w:u w:val="single" w:color="auto"/>
          <w:lang w:val="en-US" w:eastAsia="zh-CN"/>
        </w:rPr>
        <w:t>新疆昆玉市225团巴格托格拉克村176号门面房</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pPr>
        <w:keepNext w:val="0"/>
        <w:keepLines w:val="0"/>
        <w:pageBreakBefore w:val="0"/>
        <w:widowControl w:val="0"/>
        <w:kinsoku/>
        <w:wordWrap/>
        <w:overflowPunct/>
        <w:autoSpaceDE/>
        <w:autoSpaceDN/>
        <w:bidi w:val="0"/>
        <w:adjustRightInd/>
        <w:snapToGrid/>
        <w:spacing w:line="56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auto"/>
          <w:spacing w:val="0"/>
          <w:w w:val="100"/>
          <w:sz w:val="32"/>
          <w:szCs w:val="32"/>
          <w:highlight w:val="none"/>
        </w:rPr>
        <w:t>经营者：</w:t>
      </w:r>
      <w:r>
        <w:rPr>
          <w:rFonts w:hint="default" w:ascii="Times New Roman" w:hAnsi="Times New Roman" w:eastAsia="仿宋_GB2312" w:cs="Times New Roman"/>
          <w:color w:val="auto"/>
          <w:spacing w:val="0"/>
          <w:w w:val="100"/>
          <w:sz w:val="32"/>
          <w:szCs w:val="32"/>
          <w:u w:val="single" w:color="auto"/>
          <w:lang w:val="en-US" w:eastAsia="zh-CN"/>
        </w:rPr>
        <w:t>汤夕永</w:t>
      </w:r>
      <w:r>
        <w:rPr>
          <w:rFonts w:hint="eastAsia" w:ascii="Times New Roman" w:hAnsi="Times New Roman" w:eastAsia="仿宋_GB2312" w:cs="Times New Roman"/>
          <w:color w:val="auto"/>
          <w:spacing w:val="0"/>
          <w:w w:val="100"/>
          <w:sz w:val="32"/>
          <w:szCs w:val="32"/>
          <w:highlight w:val="none"/>
          <w:u w:val="single" w:color="auto"/>
          <w:lang w:val="en-US" w:eastAsia="zh-CN"/>
        </w:rPr>
        <w:t xml:space="preserve">  </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pacing w:val="0"/>
          <w:w w:val="100"/>
          <w:sz w:val="32"/>
          <w:szCs w:val="32"/>
          <w:u w:val="none" w:color="auto"/>
          <w:lang w:val="en-US" w:eastAsia="zh-CN"/>
        </w:rPr>
      </w:pPr>
      <w:r>
        <w:rPr>
          <w:rFonts w:hint="default" w:ascii="Times New Roman" w:hAnsi="Times New Roman" w:eastAsia="仿宋_GB2312" w:cs="Times New Roman"/>
          <w:color w:val="auto"/>
          <w:spacing w:val="0"/>
          <w:w w:val="100"/>
          <w:sz w:val="32"/>
          <w:szCs w:val="32"/>
          <w:u w:val="none" w:color="auto"/>
          <w:lang w:val="en-US" w:eastAsia="zh-CN"/>
        </w:rPr>
        <w:t>2024年11月13日，当事人向我局申请移出经营异常名录，我局执法人员经查询国家企业信用信息公示系统，了解到当事人2023年年度报告报送并公示时间为2024年9月20日</w:t>
      </w:r>
      <w:r>
        <w:rPr>
          <w:rFonts w:hint="eastAsia" w:ascii="Times New Roman" w:hAnsi="Times New Roman" w:eastAsia="仿宋_GB2312" w:cs="Times New Roman"/>
          <w:color w:val="auto"/>
          <w:spacing w:val="0"/>
          <w:w w:val="100"/>
          <w:sz w:val="32"/>
          <w:szCs w:val="32"/>
          <w:u w:val="none" w:color="auto"/>
          <w:lang w:val="en-US" w:eastAsia="zh-CN"/>
        </w:rPr>
        <w:t>。</w:t>
      </w:r>
      <w:r>
        <w:rPr>
          <w:rFonts w:hint="default" w:ascii="Times New Roman" w:hAnsi="Times New Roman" w:eastAsia="仿宋_GB2312" w:cs="Times New Roman"/>
          <w:color w:val="auto"/>
          <w:spacing w:val="0"/>
          <w:w w:val="100"/>
          <w:sz w:val="32"/>
          <w:szCs w:val="32"/>
          <w:u w:val="none" w:color="auto"/>
          <w:lang w:val="en-US" w:eastAsia="zh-CN"/>
        </w:rPr>
        <w:t>当事人未按照</w:t>
      </w:r>
      <w:r>
        <w:rPr>
          <w:rFonts w:hint="default" w:ascii="Times New Roman" w:hAnsi="Times New Roman" w:eastAsia="仿宋_GB2312" w:cs="Times New Roman"/>
          <w:color w:val="auto"/>
          <w:sz w:val="32"/>
          <w:szCs w:val="32"/>
          <w:highlight w:val="none"/>
          <w:lang w:val="en-US" w:eastAsia="zh-CN"/>
        </w:rPr>
        <w:t>《中华人民共和国市场主体登记管理条例》和</w:t>
      </w:r>
      <w:r>
        <w:rPr>
          <w:rFonts w:hint="default" w:ascii="Times New Roman" w:hAnsi="Times New Roman" w:eastAsia="仿宋_GB2312" w:cs="Times New Roman"/>
          <w:color w:val="auto"/>
          <w:spacing w:val="0"/>
          <w:w w:val="100"/>
          <w:sz w:val="32"/>
          <w:szCs w:val="32"/>
          <w:u w:val="none" w:color="auto"/>
          <w:lang w:val="en-US" w:eastAsia="zh-CN"/>
        </w:rPr>
        <w:t>《中华人民共和国市场主体登记管理条例实施细则》的要求，在规定期限内报送并公示2023年年度报告，于2024年7月8日被我局列入经营异常名录。</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pacing w:val="0"/>
          <w:w w:val="100"/>
          <w:sz w:val="32"/>
          <w:szCs w:val="32"/>
          <w:u w:val="none" w:color="auto"/>
          <w:lang w:val="en-US" w:eastAsia="zh-CN"/>
        </w:rPr>
      </w:pPr>
      <w:r>
        <w:rPr>
          <w:rFonts w:hint="default" w:ascii="Times New Roman" w:hAnsi="Times New Roman" w:eastAsia="仿宋_GB2312" w:cs="Times New Roman"/>
          <w:color w:val="auto"/>
          <w:spacing w:val="0"/>
          <w:w w:val="100"/>
          <w:sz w:val="32"/>
          <w:szCs w:val="32"/>
          <w:u w:val="none" w:color="auto"/>
          <w:lang w:val="en-US" w:eastAsia="zh-CN"/>
        </w:rPr>
        <w:t>为进一步调查事实，我局于</w:t>
      </w:r>
      <w:r>
        <w:rPr>
          <w:rFonts w:hint="default" w:ascii="Times New Roman" w:hAnsi="Times New Roman" w:eastAsia="仿宋_GB2312" w:cs="Times New Roman"/>
          <w:color w:val="auto"/>
          <w:spacing w:val="0"/>
          <w:w w:val="100"/>
          <w:sz w:val="32"/>
          <w:szCs w:val="32"/>
          <w:highlight w:val="none"/>
          <w:u w:val="none" w:color="auto"/>
          <w:lang w:val="en-US" w:eastAsia="zh-CN"/>
        </w:rPr>
        <w:t>2024年11月22日</w:t>
      </w:r>
      <w:r>
        <w:rPr>
          <w:rFonts w:hint="default" w:ascii="Times New Roman" w:hAnsi="Times New Roman" w:eastAsia="仿宋_GB2312" w:cs="Times New Roman"/>
          <w:color w:val="auto"/>
          <w:spacing w:val="0"/>
          <w:w w:val="100"/>
          <w:sz w:val="32"/>
          <w:szCs w:val="32"/>
          <w:u w:val="none" w:color="auto"/>
          <w:lang w:val="en-US" w:eastAsia="zh-CN"/>
        </w:rPr>
        <w:t>立案调查。</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pacing w:val="0"/>
          <w:w w:val="100"/>
          <w:sz w:val="32"/>
          <w:szCs w:val="32"/>
          <w:u w:val="none" w:color="auto"/>
          <w:lang w:val="en-US" w:eastAsia="zh-CN"/>
        </w:rPr>
      </w:pPr>
      <w:r>
        <w:rPr>
          <w:rFonts w:hint="default" w:ascii="Times New Roman" w:hAnsi="Times New Roman" w:eastAsia="仿宋_GB2312" w:cs="Times New Roman"/>
          <w:color w:val="auto"/>
          <w:spacing w:val="0"/>
          <w:w w:val="100"/>
          <w:sz w:val="32"/>
          <w:szCs w:val="32"/>
          <w:u w:val="none" w:color="auto"/>
          <w:lang w:val="en-US" w:eastAsia="zh-CN"/>
        </w:rPr>
        <w:t>2024年11月27日，我局执法人员依法对</w:t>
      </w:r>
      <w:r>
        <w:rPr>
          <w:rFonts w:hint="eastAsia" w:ascii="Times New Roman" w:hAnsi="Times New Roman" w:eastAsia="仿宋_GB2312" w:cs="Times New Roman"/>
          <w:color w:val="auto"/>
          <w:spacing w:val="0"/>
          <w:w w:val="100"/>
          <w:sz w:val="32"/>
          <w:szCs w:val="32"/>
          <w:u w:val="none" w:color="auto"/>
          <w:lang w:val="en-US" w:eastAsia="zh-CN"/>
        </w:rPr>
        <w:t>当事人</w:t>
      </w:r>
      <w:r>
        <w:rPr>
          <w:rFonts w:hint="default" w:ascii="Times New Roman" w:hAnsi="Times New Roman" w:eastAsia="仿宋_GB2312" w:cs="Times New Roman"/>
          <w:color w:val="auto"/>
          <w:spacing w:val="0"/>
          <w:w w:val="100"/>
          <w:sz w:val="32"/>
          <w:szCs w:val="32"/>
          <w:u w:val="none" w:color="auto"/>
          <w:lang w:val="en-US" w:eastAsia="zh-CN"/>
        </w:rPr>
        <w:t>经营者汤夕永</w:t>
      </w:r>
      <w:r>
        <w:rPr>
          <w:rFonts w:hint="default" w:ascii="Times New Roman" w:hAnsi="Times New Roman" w:eastAsia="仿宋_GB2312" w:cs="Times New Roman"/>
          <w:color w:val="auto"/>
          <w:spacing w:val="4"/>
          <w:sz w:val="32"/>
          <w:szCs w:val="32"/>
          <w:highlight w:val="none"/>
          <w:u w:val="none" w:color="auto"/>
          <w:lang w:val="en-US" w:eastAsia="zh-CN"/>
        </w:rPr>
        <w:t>进行询问调查</w:t>
      </w:r>
      <w:r>
        <w:rPr>
          <w:rFonts w:hint="default" w:ascii="Times New Roman" w:hAnsi="Times New Roman" w:eastAsia="仿宋_GB2312" w:cs="Times New Roman"/>
          <w:color w:val="auto"/>
          <w:spacing w:val="-6"/>
          <w:sz w:val="32"/>
          <w:szCs w:val="32"/>
          <w:highlight w:val="none"/>
          <w:u w:val="none" w:color="auto"/>
          <w:lang w:val="en-US" w:eastAsia="zh-CN"/>
        </w:rPr>
        <w:t>，并制作询问笔录1份。</w:t>
      </w:r>
      <w:r>
        <w:rPr>
          <w:rFonts w:hint="default" w:ascii="Times New Roman" w:hAnsi="Times New Roman" w:eastAsia="仿宋_GB2312" w:cs="Times New Roman"/>
          <w:color w:val="auto"/>
          <w:spacing w:val="4"/>
          <w:sz w:val="32"/>
          <w:szCs w:val="32"/>
          <w:highlight w:val="none"/>
          <w:u w:val="none" w:color="auto"/>
          <w:lang w:val="en-US" w:eastAsia="zh-CN"/>
        </w:rPr>
        <w:t>调查过程中我局执法人员全程开启执法记录仪摄像记录，依照法定程序提取、复制、拍摄、制作了证据材料。</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rPr>
        <w:t>经查询兵团市场监管综合审批平台http://10.222.25.22:6061/auth/login</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pacing w:val="0"/>
          <w:w w:val="100"/>
          <w:sz w:val="32"/>
          <w:szCs w:val="32"/>
          <w:u w:val="none" w:color="auto"/>
          <w:lang w:val="en-US" w:eastAsia="zh-CN"/>
        </w:rPr>
        <w:t>当事人营业执照签发日期为2019年12月12日。</w:t>
      </w:r>
      <w:r>
        <w:rPr>
          <w:rFonts w:hint="default" w:ascii="Times New Roman" w:hAnsi="Times New Roman" w:eastAsia="仿宋_GB2312" w:cs="Times New Roman"/>
          <w:color w:val="auto"/>
          <w:sz w:val="32"/>
          <w:szCs w:val="32"/>
        </w:rPr>
        <w:t>经查询国家企业信用信息公示系统</w:t>
      </w:r>
      <w:r>
        <w:rPr>
          <w:rFonts w:hint="default" w:ascii="Times New Roman" w:hAnsi="Times New Roman" w:eastAsia="仿宋_GB2312" w:cs="Times New Roman"/>
          <w:color w:val="auto"/>
          <w:sz w:val="32"/>
          <w:szCs w:val="32"/>
          <w:highlight w:val="none"/>
        </w:rPr>
        <w:t>（兵团）https://nb.sjj.xjbt.gov.cn</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lang w:val="en-US" w:eastAsia="zh-CN"/>
        </w:rPr>
        <w:t>当事人被列入经营异常名录的时间为2024年7月8日，2023年年度报告报送并公示时间为2024年9月20日。</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依据</w:t>
      </w:r>
      <w:r>
        <w:rPr>
          <w:rFonts w:hint="default" w:ascii="Times New Roman" w:hAnsi="Times New Roman" w:eastAsia="仿宋_GB2312" w:cs="Times New Roman"/>
          <w:color w:val="auto"/>
          <w:sz w:val="32"/>
          <w:szCs w:val="32"/>
          <w:highlight w:val="none"/>
          <w:lang w:val="en-US" w:eastAsia="zh-CN"/>
        </w:rPr>
        <w:t>《中华人民共和国市场主体登记管理条例》和</w:t>
      </w:r>
      <w:r>
        <w:rPr>
          <w:rFonts w:hint="default" w:ascii="Times New Roman" w:hAnsi="Times New Roman" w:eastAsia="仿宋_GB2312" w:cs="Times New Roman"/>
          <w:color w:val="auto"/>
          <w:sz w:val="32"/>
          <w:szCs w:val="32"/>
          <w:highlight w:val="none"/>
        </w:rPr>
        <w:t>《中华人民共和国市场主体登记管理条例实施细则》的规定，当事人应当在202</w:t>
      </w:r>
      <w:r>
        <w:rPr>
          <w:rFonts w:hint="default"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rPr>
        <w:t>年1月1日至6月30日之间</w:t>
      </w:r>
      <w:r>
        <w:rPr>
          <w:rFonts w:hint="default" w:ascii="Times New Roman" w:hAnsi="Times New Roman" w:eastAsia="仿宋_GB2312" w:cs="Times New Roman"/>
          <w:color w:val="auto"/>
          <w:sz w:val="32"/>
          <w:szCs w:val="32"/>
          <w:highlight w:val="none"/>
          <w:lang w:eastAsia="zh-CN"/>
        </w:rPr>
        <w:t>报送并公示</w:t>
      </w:r>
      <w:r>
        <w:rPr>
          <w:rFonts w:hint="default" w:ascii="Times New Roman" w:hAnsi="Times New Roman" w:eastAsia="仿宋_GB2312" w:cs="Times New Roman"/>
          <w:color w:val="auto"/>
          <w:sz w:val="32"/>
          <w:szCs w:val="32"/>
          <w:highlight w:val="none"/>
        </w:rPr>
        <w:t>202</w:t>
      </w:r>
      <w:r>
        <w:rPr>
          <w:rFonts w:hint="default" w:ascii="Times New Roman" w:hAnsi="Times New Roman"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rPr>
        <w:t>年年度报告</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实际报送时间为202</w:t>
      </w:r>
      <w:r>
        <w:rPr>
          <w:rFonts w:hint="default"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rPr>
        <w:t>年</w:t>
      </w:r>
      <w:r>
        <w:rPr>
          <w:rFonts w:hint="default" w:ascii="Times New Roman" w:hAnsi="Times New Roman" w:eastAsia="仿宋_GB2312" w:cs="Times New Roman"/>
          <w:color w:val="auto"/>
          <w:sz w:val="32"/>
          <w:szCs w:val="32"/>
          <w:highlight w:val="none"/>
          <w:lang w:val="en-US" w:eastAsia="zh-CN"/>
        </w:rPr>
        <w:t>9</w:t>
      </w:r>
      <w:r>
        <w:rPr>
          <w:rFonts w:hint="default" w:ascii="Times New Roman" w:hAnsi="Times New Roman" w:eastAsia="仿宋_GB2312" w:cs="Times New Roman"/>
          <w:color w:val="auto"/>
          <w:sz w:val="32"/>
          <w:szCs w:val="32"/>
          <w:highlight w:val="none"/>
        </w:rPr>
        <w:t>月</w:t>
      </w:r>
      <w:r>
        <w:rPr>
          <w:rFonts w:hint="default" w:ascii="Times New Roman" w:hAnsi="Times New Roman" w:eastAsia="仿宋_GB2312" w:cs="Times New Roman"/>
          <w:color w:val="auto"/>
          <w:sz w:val="32"/>
          <w:szCs w:val="32"/>
          <w:highlight w:val="none"/>
          <w:lang w:val="en-US" w:eastAsia="zh-CN"/>
        </w:rPr>
        <w:t>20</w:t>
      </w:r>
      <w:r>
        <w:rPr>
          <w:rFonts w:hint="default" w:ascii="Times New Roman" w:hAnsi="Times New Roman" w:eastAsia="仿宋_GB2312" w:cs="Times New Roman"/>
          <w:color w:val="auto"/>
          <w:sz w:val="32"/>
          <w:szCs w:val="32"/>
          <w:highlight w:val="none"/>
        </w:rPr>
        <w:t>日</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pacing w:val="0"/>
          <w:w w:val="100"/>
          <w:sz w:val="32"/>
          <w:szCs w:val="32"/>
          <w:highlight w:val="none"/>
          <w:u w:val="none" w:color="auto"/>
          <w:lang w:val="en-US" w:eastAsia="zh-CN"/>
        </w:rPr>
        <w:t>当事人未按照规定的期限报送并公示年度报告时限长达2个月零20天</w:t>
      </w:r>
      <w:r>
        <w:rPr>
          <w:rFonts w:hint="default" w:ascii="Times New Roman" w:hAnsi="Times New Roman" w:eastAsia="仿宋_GB2312" w:cs="Times New Roman"/>
          <w:color w:val="auto"/>
          <w:sz w:val="32"/>
          <w:szCs w:val="32"/>
          <w:highlight w:val="none"/>
        </w:rPr>
        <w:t>。</w:t>
      </w:r>
    </w:p>
    <w:p>
      <w:pPr>
        <w:keepNext w:val="0"/>
        <w:keepLines w:val="0"/>
        <w:pageBreakBefore w:val="0"/>
        <w:widowControl/>
        <w:kinsoku/>
        <w:wordWrap/>
        <w:overflowPunct/>
        <w:topLinePunct/>
        <w:autoSpaceDE w:val="0"/>
        <w:autoSpaceDN/>
        <w:bidi w:val="0"/>
        <w:adjustRightInd/>
        <w:snapToGrid/>
        <w:spacing w:line="560" w:lineRule="exact"/>
        <w:ind w:right="0" w:firstLine="643" w:firstLineChars="200"/>
        <w:jc w:val="both"/>
        <w:textAlignment w:val="auto"/>
        <w:rPr>
          <w:rFonts w:hint="default" w:ascii="Times New Roman" w:hAnsi="Times New Roman" w:eastAsia="仿宋_GB2312" w:cs="Times New Roman"/>
          <w:b/>
          <w:bCs/>
          <w:color w:val="auto"/>
          <w:spacing w:val="0"/>
          <w:w w:val="100"/>
          <w:sz w:val="32"/>
          <w:szCs w:val="32"/>
          <w:u w:val="none" w:color="auto"/>
        </w:rPr>
      </w:pPr>
      <w:r>
        <w:rPr>
          <w:rFonts w:hint="default" w:ascii="Times New Roman" w:hAnsi="Times New Roman" w:eastAsia="仿宋_GB2312" w:cs="Times New Roman"/>
          <w:b/>
          <w:bCs/>
          <w:color w:val="auto"/>
          <w:spacing w:val="0"/>
          <w:w w:val="100"/>
          <w:sz w:val="32"/>
          <w:szCs w:val="32"/>
          <w:u w:val="none" w:color="auto"/>
        </w:rPr>
        <w:t>上述事实，主要有以下证据证明：</w:t>
      </w:r>
    </w:p>
    <w:p>
      <w:pPr>
        <w:keepNext w:val="0"/>
        <w:keepLines w:val="0"/>
        <w:pageBreakBefore w:val="0"/>
        <w:widowControl/>
        <w:numPr>
          <w:ilvl w:val="0"/>
          <w:numId w:val="0"/>
        </w:numPr>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pacing w:val="0"/>
          <w:w w:val="100"/>
          <w:sz w:val="32"/>
          <w:szCs w:val="32"/>
          <w:u w:val="none" w:color="auto"/>
          <w:lang w:val="en-US" w:eastAsia="zh-CN"/>
        </w:rPr>
      </w:pPr>
      <w:r>
        <w:rPr>
          <w:rFonts w:hint="default" w:ascii="Times New Roman" w:hAnsi="Times New Roman" w:eastAsia="仿宋_GB2312" w:cs="Times New Roman"/>
          <w:color w:val="auto"/>
          <w:spacing w:val="0"/>
          <w:w w:val="100"/>
          <w:sz w:val="32"/>
          <w:szCs w:val="32"/>
          <w:u w:val="none" w:color="auto"/>
          <w:lang w:val="en-US" w:eastAsia="zh-CN"/>
        </w:rPr>
        <w:t>1.2024年11月13日，当事人经营者提交信用修复申请书一份，证明当事人未按规定报送并公示年报，申请移出经营异常名录的事实；</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pacing w:val="0"/>
          <w:w w:val="100"/>
          <w:sz w:val="32"/>
          <w:szCs w:val="32"/>
          <w:highlight w:val="none"/>
          <w:u w:val="none" w:color="auto"/>
          <w:lang w:val="en-US" w:eastAsia="zh-CN"/>
        </w:rPr>
      </w:pPr>
      <w:r>
        <w:rPr>
          <w:rFonts w:hint="default" w:ascii="Times New Roman" w:hAnsi="Times New Roman" w:eastAsia="仿宋_GB2312" w:cs="Times New Roman"/>
          <w:color w:val="auto"/>
          <w:spacing w:val="0"/>
          <w:w w:val="100"/>
          <w:sz w:val="32"/>
          <w:szCs w:val="32"/>
          <w:u w:val="none" w:color="auto"/>
          <w:lang w:val="en-US" w:eastAsia="zh-CN"/>
        </w:rPr>
        <w:t>2.2024年11月13日，当事人经营者汤夕永提交信用修复承诺书一份，证明当事人未按规定报送并公示年报，申请移出经营异常名录的事实；</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pacing w:val="0"/>
          <w:w w:val="100"/>
          <w:sz w:val="32"/>
          <w:szCs w:val="32"/>
          <w:u w:val="none" w:color="auto"/>
          <w:lang w:val="en-US" w:eastAsia="zh-CN"/>
        </w:rPr>
      </w:pPr>
      <w:r>
        <w:rPr>
          <w:rFonts w:hint="default" w:ascii="Times New Roman" w:hAnsi="Times New Roman" w:eastAsia="仿宋_GB2312" w:cs="Times New Roman"/>
          <w:color w:val="auto"/>
          <w:spacing w:val="0"/>
          <w:w w:val="100"/>
          <w:sz w:val="32"/>
          <w:szCs w:val="32"/>
          <w:highlight w:val="none"/>
          <w:u w:val="none" w:color="auto"/>
          <w:lang w:val="en-US" w:eastAsia="zh-CN"/>
        </w:rPr>
        <w:t>3.202</w:t>
      </w:r>
      <w:r>
        <w:rPr>
          <w:rFonts w:hint="default" w:ascii="Times New Roman" w:hAnsi="Times New Roman" w:eastAsia="仿宋_GB2312" w:cs="Times New Roman"/>
          <w:color w:val="auto"/>
          <w:spacing w:val="0"/>
          <w:w w:val="100"/>
          <w:sz w:val="32"/>
          <w:szCs w:val="32"/>
          <w:u w:val="none" w:color="auto"/>
          <w:lang w:val="en-US" w:eastAsia="zh-CN"/>
        </w:rPr>
        <w:t>4年11月13日，我局执法人员在</w:t>
      </w:r>
      <w:r>
        <w:rPr>
          <w:rFonts w:hint="default" w:ascii="Times New Roman" w:hAnsi="Times New Roman" w:eastAsia="仿宋_GB2312" w:cs="Times New Roman"/>
          <w:color w:val="auto"/>
          <w:spacing w:val="0"/>
          <w:w w:val="100"/>
          <w:sz w:val="32"/>
          <w:szCs w:val="32"/>
          <w:highlight w:val="none"/>
          <w:u w:val="none" w:color="auto"/>
          <w:lang w:val="en-US" w:eastAsia="zh-CN"/>
        </w:rPr>
        <w:t>国</w:t>
      </w:r>
      <w:r>
        <w:rPr>
          <w:rFonts w:hint="default" w:ascii="Times New Roman" w:hAnsi="Times New Roman" w:eastAsia="仿宋_GB2312" w:cs="Times New Roman"/>
          <w:color w:val="auto"/>
          <w:spacing w:val="0"/>
          <w:w w:val="100"/>
          <w:sz w:val="32"/>
          <w:szCs w:val="32"/>
          <w:u w:val="none" w:color="auto"/>
          <w:lang w:val="en-US" w:eastAsia="zh-CN"/>
        </w:rPr>
        <w:t>家企业信用信息公示系统上</w:t>
      </w:r>
      <w:r>
        <w:rPr>
          <w:rFonts w:hint="default" w:ascii="Times New Roman" w:hAnsi="Times New Roman" w:eastAsia="仿宋_GB2312" w:cs="Times New Roman"/>
          <w:color w:val="auto"/>
          <w:spacing w:val="0"/>
          <w:w w:val="100"/>
          <w:sz w:val="32"/>
          <w:szCs w:val="32"/>
          <w:highlight w:val="none"/>
          <w:u w:val="none" w:color="auto"/>
          <w:lang w:val="en-US" w:eastAsia="zh-CN"/>
        </w:rPr>
        <w:t>提取当事人实际报送年度报告信息截图1份，</w:t>
      </w:r>
      <w:r>
        <w:rPr>
          <w:rFonts w:hint="default" w:ascii="Times New Roman" w:hAnsi="Times New Roman" w:eastAsia="仿宋_GB2312" w:cs="Times New Roman"/>
          <w:color w:val="auto"/>
          <w:spacing w:val="0"/>
          <w:w w:val="100"/>
          <w:sz w:val="32"/>
          <w:szCs w:val="32"/>
          <w:u w:val="none" w:color="auto"/>
          <w:lang w:val="en-US" w:eastAsia="zh-CN"/>
        </w:rPr>
        <w:t>证明当事人于2024年9月20日补报2023年年度报告的事实；</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pacing w:val="0"/>
          <w:w w:val="100"/>
          <w:sz w:val="32"/>
          <w:szCs w:val="32"/>
          <w:u w:val="none" w:color="auto"/>
          <w:lang w:val="en-US" w:eastAsia="zh-CN"/>
        </w:rPr>
      </w:pPr>
      <w:r>
        <w:rPr>
          <w:rFonts w:hint="default" w:ascii="Times New Roman" w:hAnsi="Times New Roman" w:eastAsia="仿宋_GB2312" w:cs="Times New Roman"/>
          <w:color w:val="auto"/>
          <w:spacing w:val="0"/>
          <w:w w:val="100"/>
          <w:sz w:val="32"/>
          <w:szCs w:val="32"/>
          <w:u w:val="none" w:color="auto"/>
          <w:lang w:val="en-US" w:eastAsia="zh-CN"/>
        </w:rPr>
        <w:t>4.2024年11月27日，我局执法人员依法提取当事人《营业执照》复印件一份，证明当事人经营主体资格；</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pacing w:val="0"/>
          <w:w w:val="100"/>
          <w:sz w:val="32"/>
          <w:szCs w:val="32"/>
          <w:u w:val="none" w:color="auto"/>
          <w:lang w:val="en-US" w:eastAsia="zh-CN"/>
        </w:rPr>
      </w:pPr>
      <w:r>
        <w:rPr>
          <w:rFonts w:hint="default" w:ascii="Times New Roman" w:hAnsi="Times New Roman" w:eastAsia="仿宋_GB2312" w:cs="Times New Roman"/>
          <w:color w:val="auto"/>
          <w:spacing w:val="0"/>
          <w:w w:val="100"/>
          <w:sz w:val="32"/>
          <w:szCs w:val="32"/>
          <w:u w:val="none" w:color="auto"/>
          <w:lang w:val="en-US" w:eastAsia="zh-CN"/>
        </w:rPr>
        <w:t>5.2024年11月27日，我局执法人员依法提取当事人经营者汤夕永身份证复印件一份，证明当事人经营者身份情况；</w:t>
      </w:r>
    </w:p>
    <w:p>
      <w:pPr>
        <w:keepNext w:val="0"/>
        <w:keepLines w:val="0"/>
        <w:pageBreakBefore w:val="0"/>
        <w:widowControl/>
        <w:numPr>
          <w:ilvl w:val="0"/>
          <w:numId w:val="0"/>
        </w:numPr>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pacing w:val="0"/>
          <w:w w:val="100"/>
          <w:sz w:val="32"/>
          <w:szCs w:val="32"/>
          <w:u w:val="none" w:color="auto"/>
          <w:lang w:val="en-US" w:eastAsia="zh-CN"/>
        </w:rPr>
      </w:pPr>
      <w:r>
        <w:rPr>
          <w:rFonts w:hint="default" w:ascii="Times New Roman" w:hAnsi="Times New Roman" w:eastAsia="仿宋_GB2312" w:cs="Times New Roman"/>
          <w:color w:val="auto"/>
          <w:spacing w:val="0"/>
          <w:w w:val="100"/>
          <w:sz w:val="32"/>
          <w:szCs w:val="32"/>
          <w:u w:val="none" w:color="auto"/>
          <w:lang w:val="en-US" w:eastAsia="zh-CN"/>
        </w:rPr>
        <w:t>6.2024年11月27日，</w:t>
      </w:r>
      <w:r>
        <w:rPr>
          <w:rFonts w:hint="default" w:ascii="Times New Roman" w:hAnsi="Times New Roman" w:eastAsia="仿宋_GB2312" w:cs="Times New Roman"/>
          <w:color w:val="auto"/>
          <w:spacing w:val="0"/>
          <w:w w:val="100"/>
          <w:sz w:val="32"/>
          <w:szCs w:val="32"/>
          <w:highlight w:val="none"/>
          <w:u w:val="none" w:color="auto"/>
          <w:lang w:val="en-US" w:eastAsia="zh-CN"/>
        </w:rPr>
        <w:t>我局执法人员</w:t>
      </w:r>
      <w:r>
        <w:rPr>
          <w:rFonts w:hint="eastAsia" w:ascii="Times New Roman" w:hAnsi="Times New Roman" w:eastAsia="仿宋_GB2312" w:cs="Times New Roman"/>
          <w:color w:val="auto"/>
          <w:spacing w:val="0"/>
          <w:w w:val="100"/>
          <w:sz w:val="32"/>
          <w:szCs w:val="32"/>
          <w:highlight w:val="none"/>
          <w:u w:val="none" w:color="auto"/>
          <w:lang w:val="en-US" w:eastAsia="zh-CN"/>
        </w:rPr>
        <w:t>在</w:t>
      </w:r>
      <w:r>
        <w:rPr>
          <w:rFonts w:hint="default" w:ascii="Times New Roman" w:hAnsi="Times New Roman" w:eastAsia="仿宋_GB2312" w:cs="Times New Roman"/>
          <w:color w:val="auto"/>
          <w:spacing w:val="0"/>
          <w:w w:val="100"/>
          <w:sz w:val="32"/>
          <w:szCs w:val="32"/>
          <w:highlight w:val="none"/>
          <w:u w:val="none" w:color="auto"/>
          <w:lang w:val="en-US" w:eastAsia="zh-CN"/>
        </w:rPr>
        <w:t>新疆生产建设兵团市场监督管理局市场主体信用监管业务系统风险信息一栏提取异常名录信息截图1份</w:t>
      </w:r>
      <w:r>
        <w:rPr>
          <w:rFonts w:hint="default" w:ascii="Times New Roman" w:hAnsi="Times New Roman" w:eastAsia="仿宋_GB2312" w:cs="Times New Roman"/>
          <w:color w:val="auto"/>
          <w:spacing w:val="0"/>
          <w:w w:val="100"/>
          <w:sz w:val="32"/>
          <w:szCs w:val="32"/>
          <w:u w:val="none" w:color="auto"/>
          <w:lang w:val="en-US" w:eastAsia="zh-CN"/>
        </w:rPr>
        <w:t>，证明当事人于2024年7月8日被我局列入经营异常名录的事实；</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default" w:ascii="Times New Roman" w:hAnsi="Times New Roman" w:eastAsia="仿宋_GB2312" w:cs="Times New Roman"/>
          <w:color w:val="auto"/>
          <w:spacing w:val="0"/>
          <w:w w:val="100"/>
          <w:sz w:val="32"/>
          <w:szCs w:val="32"/>
          <w:u w:val="none" w:color="auto"/>
          <w:lang w:val="en-US" w:eastAsia="zh-CN"/>
        </w:rPr>
      </w:pPr>
      <w:r>
        <w:rPr>
          <w:rFonts w:hint="default" w:ascii="Times New Roman" w:hAnsi="Times New Roman" w:eastAsia="仿宋_GB2312" w:cs="Times New Roman"/>
          <w:color w:val="auto"/>
          <w:spacing w:val="0"/>
          <w:w w:val="100"/>
          <w:sz w:val="32"/>
          <w:szCs w:val="32"/>
          <w:u w:val="none" w:color="auto"/>
          <w:lang w:val="en-US" w:eastAsia="zh-CN"/>
        </w:rPr>
        <w:t>7.2024年11月27日，我局执法人员依法对当事人经营者</w:t>
      </w:r>
      <w:r>
        <w:rPr>
          <w:rFonts w:hint="eastAsia" w:ascii="Times New Roman" w:hAnsi="Times New Roman" w:eastAsia="仿宋_GB2312" w:cs="Times New Roman"/>
          <w:color w:val="auto"/>
          <w:spacing w:val="0"/>
          <w:w w:val="100"/>
          <w:sz w:val="32"/>
          <w:szCs w:val="32"/>
          <w:u w:val="none" w:color="auto"/>
          <w:lang w:val="en-US" w:eastAsia="zh-CN"/>
        </w:rPr>
        <w:t>（</w:t>
      </w:r>
      <w:r>
        <w:rPr>
          <w:rFonts w:hint="default" w:ascii="Times New Roman" w:hAnsi="Times New Roman" w:eastAsia="仿宋_GB2312" w:cs="Times New Roman"/>
          <w:color w:val="auto"/>
          <w:spacing w:val="0"/>
          <w:w w:val="100"/>
          <w:sz w:val="32"/>
          <w:szCs w:val="32"/>
          <w:u w:val="none" w:color="auto"/>
          <w:lang w:val="en-US" w:eastAsia="zh-CN"/>
        </w:rPr>
        <w:t>汤夕永</w:t>
      </w:r>
      <w:r>
        <w:rPr>
          <w:rFonts w:hint="eastAsia" w:ascii="Times New Roman" w:hAnsi="Times New Roman" w:eastAsia="仿宋_GB2312" w:cs="Times New Roman"/>
          <w:color w:val="auto"/>
          <w:spacing w:val="0"/>
          <w:w w:val="100"/>
          <w:sz w:val="32"/>
          <w:szCs w:val="32"/>
          <w:u w:val="none" w:color="auto"/>
          <w:lang w:val="en-US" w:eastAsia="zh-CN"/>
        </w:rPr>
        <w:t>）</w:t>
      </w:r>
      <w:r>
        <w:rPr>
          <w:rFonts w:hint="default" w:ascii="Times New Roman" w:hAnsi="Times New Roman" w:eastAsia="仿宋_GB2312" w:cs="Times New Roman"/>
          <w:color w:val="auto"/>
          <w:spacing w:val="0"/>
          <w:w w:val="100"/>
          <w:sz w:val="32"/>
          <w:szCs w:val="32"/>
          <w:u w:val="none" w:color="auto"/>
          <w:lang w:val="en-US" w:eastAsia="zh-CN"/>
        </w:rPr>
        <w:t>制作询问笔录1份，证明当事人未在规定期限内报送并公示2023年年度报告的事实。</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eastAsia" w:ascii="仿宋_GB2312" w:hAnsi="仿宋_GB2312" w:eastAsia="仿宋_GB2312" w:cs="仿宋_GB2312"/>
          <w:color w:val="auto"/>
          <w:spacing w:val="0"/>
          <w:w w:val="100"/>
          <w:sz w:val="32"/>
          <w:szCs w:val="32"/>
          <w:highlight w:val="none"/>
        </w:rPr>
      </w:pPr>
      <w:r>
        <w:rPr>
          <w:rFonts w:hint="default" w:ascii="Times New Roman" w:hAnsi="Times New Roman" w:eastAsia="仿宋_GB2312" w:cs="Times New Roman"/>
          <w:color w:val="auto"/>
          <w:spacing w:val="0"/>
          <w:w w:val="100"/>
          <w:sz w:val="32"/>
          <w:szCs w:val="32"/>
          <w:u w:val="none" w:color="auto"/>
          <w:lang w:val="en-US" w:eastAsia="zh-CN"/>
        </w:rPr>
        <w:t>以上证据材料均依照法定程序收集，均由当事人</w:t>
      </w:r>
      <w:r>
        <w:rPr>
          <w:rFonts w:hint="eastAsia" w:ascii="Times New Roman" w:hAnsi="Times New Roman" w:eastAsia="仿宋_GB2312" w:cs="Times New Roman"/>
          <w:color w:val="auto"/>
          <w:spacing w:val="0"/>
          <w:w w:val="100"/>
          <w:sz w:val="32"/>
          <w:szCs w:val="32"/>
          <w:u w:val="none" w:color="auto"/>
          <w:lang w:val="en-US" w:eastAsia="zh-CN"/>
        </w:rPr>
        <w:t>经营者汤夕永</w:t>
      </w:r>
      <w:r>
        <w:rPr>
          <w:rFonts w:hint="default" w:ascii="Times New Roman" w:hAnsi="Times New Roman" w:eastAsia="仿宋_GB2312" w:cs="Times New Roman"/>
          <w:color w:val="auto"/>
          <w:spacing w:val="0"/>
          <w:w w:val="100"/>
          <w:sz w:val="32"/>
          <w:szCs w:val="32"/>
          <w:u w:val="none" w:color="auto"/>
          <w:lang w:val="en-US" w:eastAsia="zh-CN"/>
        </w:rPr>
        <w:t>签字</w:t>
      </w:r>
      <w:r>
        <w:rPr>
          <w:rFonts w:hint="eastAsia" w:ascii="Times New Roman" w:hAnsi="Times New Roman" w:eastAsia="仿宋_GB2312" w:cs="Times New Roman"/>
          <w:color w:val="auto"/>
          <w:spacing w:val="0"/>
          <w:w w:val="100"/>
          <w:sz w:val="32"/>
          <w:szCs w:val="32"/>
          <w:u w:val="none" w:color="auto"/>
          <w:lang w:val="en-US" w:eastAsia="zh-CN"/>
        </w:rPr>
        <w:t>并按手印</w:t>
      </w:r>
      <w:r>
        <w:rPr>
          <w:rFonts w:hint="default" w:ascii="Times New Roman" w:hAnsi="Times New Roman" w:eastAsia="仿宋_GB2312" w:cs="Times New Roman"/>
          <w:color w:val="auto"/>
          <w:spacing w:val="0"/>
          <w:w w:val="100"/>
          <w:sz w:val="32"/>
          <w:szCs w:val="32"/>
          <w:u w:val="none" w:color="auto"/>
          <w:lang w:val="en-US" w:eastAsia="zh-CN"/>
        </w:rPr>
        <w:t>确认，符合法定形式。</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pacing w:val="0"/>
          <w:w w:val="100"/>
          <w:kern w:val="2"/>
          <w:sz w:val="32"/>
          <w:szCs w:val="32"/>
          <w:highlight w:val="none"/>
          <w:lang w:val="en-US" w:eastAsia="zh-CN" w:bidi="ar-SA"/>
        </w:rPr>
      </w:pPr>
      <w:r>
        <w:rPr>
          <w:rFonts w:hint="eastAsia" w:ascii="仿宋_GB2312" w:hAnsi="仿宋_GB2312" w:eastAsia="仿宋_GB2312" w:cs="仿宋_GB2312"/>
          <w:color w:val="auto"/>
          <w:spacing w:val="0"/>
          <w:w w:val="100"/>
          <w:kern w:val="2"/>
          <w:sz w:val="32"/>
          <w:szCs w:val="32"/>
          <w:highlight w:val="none"/>
          <w:lang w:val="en-US" w:eastAsia="zh-CN" w:bidi="ar-SA"/>
        </w:rPr>
        <w:t>案件办理过程中，执法人员在现场检查、询问调查时均告知当事人依法享有陈述、申辩的权利，当事人未提出陈述、申辩。2024年12月11日，我局执法人员依法向当事人送达《第十四师市场监督管理局行政处罚告知书》（第十四师市监罚告〔2024〕610号），告知当事人拟作出的行政处罚内容以及事实、理由、依据，并告知当事人依法享有的陈述和申辩的权利。当事人在法定期限内未提出陈述和申辩。</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3" w:firstLineChars="200"/>
        <w:jc w:val="both"/>
        <w:rPr>
          <w:rFonts w:hint="default" w:ascii="仿宋_GB2312" w:hAnsi="仿宋_GB2312" w:eastAsia="仿宋_GB2312" w:cs="仿宋_GB2312"/>
          <w:color w:val="auto"/>
          <w:spacing w:val="0"/>
          <w:w w:val="100"/>
          <w:sz w:val="32"/>
          <w:szCs w:val="32"/>
          <w:highlight w:val="none"/>
          <w:lang w:val="en-US"/>
        </w:rPr>
      </w:pPr>
      <w:r>
        <w:rPr>
          <w:rFonts w:hint="eastAsia" w:ascii="Times New Roman" w:hAnsi="Times New Roman" w:eastAsia="仿宋_GB2312" w:cs="Times New Roman"/>
          <w:b/>
          <w:bCs/>
          <w:color w:val="auto"/>
          <w:spacing w:val="0"/>
          <w:w w:val="100"/>
          <w:sz w:val="32"/>
          <w:szCs w:val="32"/>
          <w:highlight w:val="none"/>
          <w:lang w:val="en-US" w:eastAsia="zh-CN"/>
        </w:rPr>
        <w:t>本局认为</w:t>
      </w:r>
      <w:r>
        <w:rPr>
          <w:rFonts w:hint="eastAsia" w:ascii="Times New Roman" w:hAnsi="Times New Roman" w:eastAsia="仿宋_GB2312" w:cs="Times New Roman"/>
          <w:color w:val="auto"/>
          <w:spacing w:val="0"/>
          <w:w w:val="100"/>
          <w:sz w:val="32"/>
          <w:szCs w:val="32"/>
          <w:highlight w:val="none"/>
          <w:lang w:val="en-US" w:eastAsia="zh-CN"/>
        </w:rPr>
        <w:t>，</w:t>
      </w:r>
      <w:r>
        <w:rPr>
          <w:rFonts w:hint="eastAsia" w:ascii="仿宋_GB2312" w:hAnsi="仿宋_GB2312" w:eastAsia="仿宋_GB2312" w:cs="仿宋_GB2312"/>
          <w:color w:val="auto"/>
          <w:sz w:val="32"/>
          <w:szCs w:val="32"/>
          <w:highlight w:val="none"/>
        </w:rPr>
        <w:t>当事人未在202</w:t>
      </w:r>
      <w:r>
        <w:rPr>
          <w:rFonts w:hint="eastAsia" w:ascii="仿宋_GB2312" w:hAnsi="仿宋_GB2312" w:eastAsia="仿宋_GB2312" w:cs="仿宋_GB2312"/>
          <w:color w:val="auto"/>
          <w:sz w:val="32"/>
          <w:szCs w:val="32"/>
          <w:highlight w:val="none"/>
          <w:lang w:val="en-US" w:eastAsia="zh-CN"/>
        </w:rPr>
        <w:t>4</w:t>
      </w:r>
      <w:r>
        <w:rPr>
          <w:rFonts w:hint="eastAsia" w:ascii="仿宋_GB2312" w:hAnsi="仿宋_GB2312" w:eastAsia="仿宋_GB2312" w:cs="仿宋_GB2312"/>
          <w:color w:val="auto"/>
          <w:sz w:val="32"/>
          <w:szCs w:val="32"/>
          <w:highlight w:val="none"/>
        </w:rPr>
        <w:t>年1月1日至6月30日通过国家企业信用信息公示系统（兵团）</w:t>
      </w:r>
      <w:r>
        <w:rPr>
          <w:rFonts w:hint="eastAsia" w:ascii="仿宋_GB2312" w:hAnsi="仿宋_GB2312" w:eastAsia="仿宋_GB2312" w:cs="仿宋_GB2312"/>
          <w:color w:val="auto"/>
          <w:sz w:val="32"/>
          <w:szCs w:val="32"/>
          <w:highlight w:val="none"/>
          <w:lang w:val="en-US" w:eastAsia="zh-CN"/>
        </w:rPr>
        <w:t>报送并公示</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年年度报告的行为，违反了</w:t>
      </w:r>
      <w:r>
        <w:rPr>
          <w:rFonts w:hint="eastAsia" w:ascii="仿宋_GB2312" w:hAnsi="仿宋_GB2312" w:eastAsia="仿宋_GB2312" w:cs="仿宋_GB2312"/>
          <w:color w:val="auto"/>
          <w:sz w:val="32"/>
          <w:szCs w:val="32"/>
          <w:highlight w:val="none"/>
          <w:lang w:val="en-US" w:eastAsia="zh-CN"/>
        </w:rPr>
        <w:t>《中华人民共和国市场主体登记管理条例》第三十五条“市场主体应当按照国家有关规定公示年度报告和登记相关信息。”和</w:t>
      </w:r>
      <w:r>
        <w:rPr>
          <w:rFonts w:hint="eastAsia" w:ascii="仿宋_GB2312" w:hAnsi="仿宋_GB2312" w:eastAsia="仿宋_GB2312" w:cs="仿宋_GB2312"/>
          <w:color w:val="auto"/>
          <w:sz w:val="32"/>
          <w:szCs w:val="32"/>
          <w:highlight w:val="none"/>
        </w:rPr>
        <w:t>《中华人民共和国市场主体登记管理条例实施细则》第六十三条第一款“市场主体应当于每年1月1日至6月30日，通过国家企业信用信息公示系统报送上一年度的年度报告，并向社会公示。</w:t>
      </w:r>
      <w:r>
        <w:rPr>
          <w:rFonts w:hint="eastAsia" w:ascii="仿宋_GB2312" w:hAnsi="仿宋_GB2312" w:eastAsia="仿宋_GB2312" w:cs="仿宋_GB2312"/>
          <w:color w:val="auto"/>
          <w:spacing w:val="1"/>
          <w:sz w:val="32"/>
          <w:szCs w:val="32"/>
          <w:highlight w:val="none"/>
        </w:rPr>
        <w:t>……</w:t>
      </w:r>
      <w:r>
        <w:rPr>
          <w:rFonts w:hint="eastAsia" w:ascii="仿宋_GB2312" w:hAnsi="仿宋_GB2312" w:eastAsia="仿宋_GB2312" w:cs="仿宋_GB2312"/>
          <w:color w:val="auto"/>
          <w:sz w:val="32"/>
          <w:szCs w:val="32"/>
          <w:highlight w:val="none"/>
        </w:rPr>
        <w:t>”的规定，</w:t>
      </w:r>
      <w:r>
        <w:rPr>
          <w:rFonts w:hint="eastAsia" w:ascii="仿宋_GB2312" w:hAnsi="仿宋_GB2312" w:eastAsia="仿宋_GB2312" w:cs="仿宋_GB2312"/>
          <w:color w:val="auto"/>
          <w:sz w:val="32"/>
          <w:szCs w:val="32"/>
          <w:highlight w:val="none"/>
          <w:lang w:val="en-US" w:eastAsia="zh-CN"/>
        </w:rPr>
        <w:t>构成</w:t>
      </w:r>
      <w:r>
        <w:rPr>
          <w:rFonts w:hint="eastAsia" w:ascii="仿宋_GB2312" w:hAnsi="仿宋_GB2312" w:eastAsia="仿宋_GB2312" w:cs="仿宋_GB2312"/>
          <w:color w:val="auto"/>
          <w:sz w:val="32"/>
          <w:szCs w:val="32"/>
          <w:highlight w:val="none"/>
        </w:rPr>
        <w:t>未按照国家有关规定的期限</w:t>
      </w:r>
      <w:r>
        <w:rPr>
          <w:rFonts w:hint="eastAsia" w:ascii="仿宋_GB2312" w:hAnsi="仿宋_GB2312" w:eastAsia="仿宋_GB2312" w:cs="仿宋_GB2312"/>
          <w:color w:val="auto"/>
          <w:sz w:val="32"/>
          <w:szCs w:val="32"/>
          <w:highlight w:val="none"/>
          <w:lang w:eastAsia="zh-CN"/>
        </w:rPr>
        <w:t>报送并公示</w:t>
      </w:r>
      <w:r>
        <w:rPr>
          <w:rFonts w:hint="eastAsia" w:ascii="仿宋_GB2312" w:hAnsi="仿宋_GB2312" w:eastAsia="仿宋_GB2312" w:cs="仿宋_GB2312"/>
          <w:color w:val="auto"/>
          <w:sz w:val="32"/>
          <w:szCs w:val="32"/>
          <w:highlight w:val="none"/>
        </w:rPr>
        <w:t>年度报告的违法行为。</w:t>
      </w:r>
      <w:r>
        <w:rPr>
          <w:rFonts w:hint="default" w:ascii="Times New Roman" w:hAnsi="Times New Roman" w:eastAsia="仿宋_GB2312" w:cs="Times New Roman"/>
          <w:color w:val="auto"/>
          <w:sz w:val="32"/>
          <w:szCs w:val="32"/>
          <w:highlight w:val="none"/>
          <w:lang w:val="en-US" w:eastAsia="zh-CN"/>
        </w:rPr>
        <w:t>依据</w:t>
      </w:r>
      <w:r>
        <w:rPr>
          <w:rFonts w:hint="eastAsia" w:ascii="仿宋_GB2312" w:hAnsi="仿宋_GB2312" w:eastAsia="仿宋_GB2312" w:cs="仿宋_GB2312"/>
          <w:color w:val="auto"/>
          <w:sz w:val="32"/>
          <w:szCs w:val="32"/>
          <w:highlight w:val="none"/>
          <w:lang w:val="en-US" w:eastAsia="zh-CN"/>
        </w:rPr>
        <w:t>《中华人民共和国行政处罚法》第二十八条第一款“行政机关实施行政处罚时，应当责令当事人改正或者限期改正违法行为。”和</w:t>
      </w:r>
      <w:r>
        <w:rPr>
          <w:rFonts w:hint="default" w:ascii="仿宋_GB2312" w:hAnsi="仿宋_GB2312" w:eastAsia="仿宋_GB2312" w:cs="仿宋_GB2312"/>
          <w:color w:val="auto"/>
          <w:sz w:val="32"/>
          <w:szCs w:val="32"/>
          <w:highlight w:val="none"/>
          <w:lang w:val="en-US" w:eastAsia="zh-CN"/>
        </w:rPr>
        <w:t>《中</w:t>
      </w:r>
      <w:r>
        <w:rPr>
          <w:rFonts w:hint="default" w:ascii="Times New Roman" w:hAnsi="Times New Roman" w:eastAsia="仿宋_GB2312" w:cs="Times New Roman"/>
          <w:color w:val="auto"/>
          <w:sz w:val="32"/>
          <w:szCs w:val="32"/>
          <w:highlight w:val="none"/>
          <w:lang w:val="en-US" w:eastAsia="zh-CN"/>
        </w:rPr>
        <w:t>华人民共和国市场主体登记管理条例实施细则》第七十条“市场主体未按照法律、行政法规规定的期限报送并公示年度报告</w:t>
      </w:r>
      <w:r>
        <w:rPr>
          <w:rFonts w:hint="default" w:ascii="Times New Roman" w:hAnsi="Times New Roman" w:eastAsia="仿宋_GB2312" w:cs="Times New Roman"/>
          <w:color w:val="auto"/>
          <w:spacing w:val="0"/>
          <w:w w:val="100"/>
          <w:sz w:val="32"/>
          <w:szCs w:val="32"/>
          <w:highlight w:val="none"/>
          <w:u w:val="none" w:color="auto"/>
          <w:lang w:val="en-US" w:eastAsia="zh-CN"/>
        </w:rPr>
        <w:t>的，由登记机关列入经营异常名录，可以处1万元以下的罚款。”的规定，</w:t>
      </w:r>
      <w:r>
        <w:rPr>
          <w:rFonts w:hint="eastAsia" w:ascii="仿宋_GB2312" w:hAnsi="仿宋_GB2312" w:eastAsia="仿宋_GB2312" w:cs="仿宋_GB2312"/>
          <w:color w:val="auto"/>
          <w:spacing w:val="0"/>
          <w:w w:val="100"/>
          <w:sz w:val="32"/>
          <w:szCs w:val="32"/>
          <w:highlight w:val="none"/>
          <w:lang w:val="en-US" w:eastAsia="zh-CN"/>
        </w:rPr>
        <w:t>本机关应当责令当事人立即改正上述违法行为，并处</w:t>
      </w:r>
      <w:r>
        <w:rPr>
          <w:rFonts w:hint="default" w:ascii="Times New Roman" w:hAnsi="Times New Roman" w:eastAsia="仿宋_GB2312" w:cs="Times New Roman"/>
          <w:color w:val="auto"/>
          <w:spacing w:val="0"/>
          <w:w w:val="100"/>
          <w:sz w:val="32"/>
          <w:szCs w:val="32"/>
          <w:highlight w:val="none"/>
          <w:u w:val="none" w:color="auto"/>
          <w:lang w:val="en-US" w:eastAsia="zh-CN"/>
        </w:rPr>
        <w:t>1万元以下的罚款</w:t>
      </w:r>
      <w:r>
        <w:rPr>
          <w:rFonts w:hint="eastAsia" w:ascii="仿宋_GB2312" w:hAnsi="仿宋_GB2312" w:eastAsia="仿宋_GB2312" w:cs="仿宋_GB2312"/>
          <w:color w:val="auto"/>
          <w:spacing w:val="0"/>
          <w:w w:val="100"/>
          <w:sz w:val="32"/>
          <w:szCs w:val="32"/>
          <w:highlight w:val="none"/>
        </w:rPr>
        <w:t>。</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left"/>
        <w:textAlignment w:val="auto"/>
        <w:rPr>
          <w:rFonts w:hint="default" w:ascii="Times New Roman" w:hAnsi="Times New Roman" w:eastAsia="仿宋_GB2312" w:cs="Times New Roman"/>
          <w:color w:val="auto"/>
          <w:spacing w:val="0"/>
          <w:w w:val="100"/>
          <w:sz w:val="32"/>
          <w:szCs w:val="32"/>
          <w:highlight w:val="none"/>
          <w:u w:val="none" w:color="auto"/>
          <w:lang w:val="en-US" w:eastAsia="zh-CN"/>
        </w:rPr>
      </w:pPr>
      <w:r>
        <w:rPr>
          <w:rFonts w:hint="default" w:ascii="Times New Roman" w:hAnsi="Times New Roman" w:eastAsia="仿宋_GB2312" w:cs="Times New Roman"/>
          <w:color w:val="auto"/>
          <w:spacing w:val="0"/>
          <w:w w:val="100"/>
          <w:sz w:val="32"/>
          <w:szCs w:val="32"/>
          <w:u w:val="none" w:color="auto"/>
          <w:lang w:val="en-US" w:eastAsia="zh-CN"/>
        </w:rPr>
        <w:t>本案调查过程中，当事人</w:t>
      </w:r>
      <w:r>
        <w:rPr>
          <w:rFonts w:hint="default" w:ascii="Times New Roman" w:hAnsi="Times New Roman" w:eastAsia="仿宋_GB2312" w:cs="Times New Roman"/>
          <w:color w:val="auto"/>
          <w:sz w:val="32"/>
          <w:szCs w:val="32"/>
          <w:highlight w:val="none"/>
        </w:rPr>
        <w:t>未在202</w:t>
      </w:r>
      <w:r>
        <w:rPr>
          <w:rFonts w:hint="default"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rPr>
        <w:t>年1月1日至6月30日</w:t>
      </w:r>
      <w:r>
        <w:rPr>
          <w:rFonts w:hint="default" w:ascii="Times New Roman" w:hAnsi="Times New Roman" w:eastAsia="仿宋_GB2312" w:cs="Times New Roman"/>
          <w:color w:val="auto"/>
          <w:sz w:val="32"/>
          <w:szCs w:val="32"/>
          <w:highlight w:val="none"/>
          <w:lang w:val="en-US" w:eastAsia="zh-CN"/>
        </w:rPr>
        <w:t>之间报送并公示2023年年度报告</w:t>
      </w:r>
      <w:r>
        <w:rPr>
          <w:rFonts w:hint="default" w:ascii="Times New Roman" w:hAnsi="Times New Roman" w:eastAsia="仿宋_GB2312" w:cs="Times New Roman"/>
          <w:color w:val="auto"/>
          <w:spacing w:val="0"/>
          <w:w w:val="100"/>
          <w:sz w:val="32"/>
          <w:szCs w:val="32"/>
          <w:u w:val="none" w:color="auto"/>
          <w:lang w:val="en-US" w:eastAsia="zh-CN"/>
        </w:rPr>
        <w:t>的违法行为持续时间</w:t>
      </w:r>
      <w:r>
        <w:rPr>
          <w:rFonts w:hint="eastAsia" w:ascii="Times New Roman" w:hAnsi="Times New Roman" w:eastAsia="仿宋_GB2312" w:cs="Times New Roman"/>
          <w:color w:val="auto"/>
          <w:spacing w:val="0"/>
          <w:w w:val="100"/>
          <w:sz w:val="32"/>
          <w:szCs w:val="32"/>
          <w:u w:val="none" w:color="auto"/>
          <w:lang w:val="en-US" w:eastAsia="zh-CN"/>
        </w:rPr>
        <w:t>为</w:t>
      </w:r>
      <w:r>
        <w:rPr>
          <w:rFonts w:hint="default" w:ascii="Times New Roman" w:hAnsi="Times New Roman" w:eastAsia="仿宋_GB2312" w:cs="Times New Roman"/>
          <w:color w:val="auto"/>
          <w:spacing w:val="0"/>
          <w:w w:val="100"/>
          <w:sz w:val="32"/>
          <w:szCs w:val="32"/>
          <w:highlight w:val="none"/>
          <w:u w:val="none" w:color="auto"/>
          <w:lang w:val="en-US" w:eastAsia="zh-CN"/>
        </w:rPr>
        <w:t>2个月零20天</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我局决定</w:t>
      </w:r>
      <w:r>
        <w:rPr>
          <w:rFonts w:hint="default" w:ascii="Times New Roman" w:hAnsi="Times New Roman" w:eastAsia="仿宋_GB2312" w:cs="Times New Roman"/>
          <w:color w:val="auto"/>
          <w:spacing w:val="0"/>
          <w:w w:val="100"/>
          <w:sz w:val="32"/>
          <w:szCs w:val="32"/>
          <w:highlight w:val="none"/>
          <w:u w:val="none" w:color="auto"/>
          <w:lang w:val="en-US" w:eastAsia="zh-CN"/>
        </w:rPr>
        <w:t>对当事人未按照国家有关规定的期限报送并公示年度报告的违法行为给予从轻行政处罚裁量。</w:t>
      </w:r>
    </w:p>
    <w:p>
      <w:pPr>
        <w:keepNext w:val="0"/>
        <w:keepLines w:val="0"/>
        <w:pageBreakBefore w:val="0"/>
        <w:widowControl/>
        <w:kinsoku/>
        <w:wordWrap/>
        <w:overflowPunct/>
        <w:topLinePunct/>
        <w:autoSpaceDE w:val="0"/>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pacing w:val="0"/>
          <w:w w:val="100"/>
          <w:sz w:val="32"/>
          <w:szCs w:val="32"/>
          <w:highlight w:val="none"/>
          <w:u w:val="none" w:color="auto"/>
          <w:lang w:val="en-US" w:eastAsia="zh-CN"/>
        </w:rPr>
      </w:pPr>
      <w:r>
        <w:rPr>
          <w:rFonts w:hint="default" w:ascii="Times New Roman" w:hAnsi="Times New Roman" w:eastAsia="仿宋_GB2312" w:cs="Times New Roman"/>
          <w:color w:val="auto"/>
          <w:spacing w:val="0"/>
          <w:w w:val="100"/>
          <w:sz w:val="32"/>
          <w:szCs w:val="32"/>
          <w:highlight w:val="none"/>
          <w:u w:val="none" w:color="auto"/>
          <w:lang w:val="en-US" w:eastAsia="zh-CN"/>
        </w:rPr>
        <w:t>参考《新疆维吾尔自治区 新疆生产建设兵团市场监督管理行政处罚裁量权适用规定》第十四条第四款“从轻行政处罚是指在依法可选择的处罚种类和处罚幅度内，适用较轻、较少的处罚种类或者较低的处罚幅度。其中，罚款的数额应当为从最低限到最高限这一幅度中低于30%的部分。”的规定，</w:t>
      </w:r>
      <w:r>
        <w:rPr>
          <w:rFonts w:hint="eastAsia" w:ascii="Times New Roman" w:hAnsi="Times New Roman" w:eastAsia="仿宋_GB2312" w:cs="Times New Roman"/>
          <w:color w:val="auto"/>
          <w:spacing w:val="0"/>
          <w:w w:val="100"/>
          <w:sz w:val="32"/>
          <w:szCs w:val="32"/>
          <w:highlight w:val="none"/>
          <w:u w:val="none" w:color="auto"/>
          <w:lang w:val="en-US" w:eastAsia="zh-CN"/>
        </w:rPr>
        <w:t>以及我局近期办理的同类型案件处罚裁量标准，我局决定</w:t>
      </w:r>
      <w:r>
        <w:rPr>
          <w:rFonts w:hint="default" w:ascii="Times New Roman" w:hAnsi="Times New Roman" w:eastAsia="仿宋_GB2312" w:cs="Times New Roman"/>
          <w:color w:val="auto"/>
          <w:spacing w:val="0"/>
          <w:w w:val="100"/>
          <w:sz w:val="32"/>
          <w:szCs w:val="32"/>
          <w:highlight w:val="none"/>
          <w:u w:val="none" w:color="auto"/>
          <w:lang w:val="en-US" w:eastAsia="zh-CN"/>
        </w:rPr>
        <w:t>对当事人未按照国家有关规定的期限报送并公示年度报告的违法行为</w:t>
      </w:r>
      <w:r>
        <w:rPr>
          <w:rFonts w:hint="eastAsia" w:ascii="Times New Roman" w:hAnsi="Times New Roman" w:eastAsia="仿宋_GB2312" w:cs="Times New Roman"/>
          <w:color w:val="auto"/>
          <w:spacing w:val="0"/>
          <w:w w:val="100"/>
          <w:sz w:val="32"/>
          <w:szCs w:val="32"/>
          <w:highlight w:val="none"/>
          <w:u w:val="none" w:color="auto"/>
          <w:lang w:val="en-US" w:eastAsia="zh-CN"/>
        </w:rPr>
        <w:t>处</w:t>
      </w:r>
      <w:r>
        <w:rPr>
          <w:rFonts w:hint="default" w:ascii="Times New Roman" w:hAnsi="Times New Roman" w:eastAsia="仿宋_GB2312" w:cs="Times New Roman"/>
          <w:color w:val="auto"/>
          <w:spacing w:val="0"/>
          <w:w w:val="100"/>
          <w:sz w:val="32"/>
          <w:szCs w:val="32"/>
          <w:highlight w:val="none"/>
          <w:u w:val="none" w:color="auto"/>
          <w:lang w:val="en-US" w:eastAsia="zh-CN"/>
        </w:rPr>
        <w:t>罚款2</w:t>
      </w:r>
      <w:r>
        <w:rPr>
          <w:rFonts w:hint="eastAsia" w:ascii="Times New Roman" w:hAnsi="Times New Roman" w:eastAsia="仿宋_GB2312" w:cs="Times New Roman"/>
          <w:color w:val="auto"/>
          <w:spacing w:val="0"/>
          <w:w w:val="100"/>
          <w:sz w:val="32"/>
          <w:szCs w:val="32"/>
          <w:highlight w:val="none"/>
          <w:u w:val="none" w:color="auto"/>
          <w:lang w:val="en-US" w:eastAsia="zh-CN"/>
        </w:rPr>
        <w:t>727</w:t>
      </w:r>
      <w:r>
        <w:rPr>
          <w:rFonts w:hint="default" w:ascii="Times New Roman" w:hAnsi="Times New Roman" w:eastAsia="仿宋_GB2312" w:cs="Times New Roman"/>
          <w:color w:val="auto"/>
          <w:spacing w:val="0"/>
          <w:w w:val="100"/>
          <w:sz w:val="32"/>
          <w:szCs w:val="32"/>
          <w:highlight w:val="none"/>
          <w:u w:val="none" w:color="auto"/>
          <w:lang w:val="en-US" w:eastAsia="zh-CN"/>
        </w:rPr>
        <w:t>元（贰仟柒佰贰拾柒元）。</w:t>
      </w:r>
    </w:p>
    <w:p>
      <w:pPr>
        <w:keepNext w:val="0"/>
        <w:keepLines w:val="0"/>
        <w:pageBreakBefore w:val="0"/>
        <w:widowControl/>
        <w:kinsoku/>
        <w:wordWrap/>
        <w:overflowPunct/>
        <w:topLinePunct/>
        <w:autoSpaceDE w:val="0"/>
        <w:autoSpaceDN/>
        <w:bidi w:val="0"/>
        <w:adjustRightInd/>
        <w:snapToGrid/>
        <w:spacing w:line="560" w:lineRule="exact"/>
        <w:ind w:right="0" w:firstLine="640" w:firstLineChars="200"/>
        <w:jc w:val="both"/>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综上</w:t>
      </w:r>
      <w:r>
        <w:rPr>
          <w:rFonts w:hint="eastAsia" w:ascii="仿宋_GB2312" w:hAnsi="仿宋_GB2312" w:eastAsia="仿宋_GB2312" w:cs="仿宋_GB2312"/>
          <w:color w:val="auto"/>
          <w:spacing w:val="0"/>
          <w:w w:val="100"/>
          <w:sz w:val="32"/>
          <w:szCs w:val="32"/>
          <w:highlight w:val="none"/>
          <w:lang w:val="en-US" w:eastAsia="zh-CN"/>
        </w:rPr>
        <w:t>所述</w:t>
      </w:r>
      <w:r>
        <w:rPr>
          <w:rFonts w:hint="eastAsia" w:ascii="仿宋_GB2312" w:hAnsi="仿宋_GB2312" w:eastAsia="仿宋_GB2312" w:cs="仿宋_GB2312"/>
          <w:color w:val="auto"/>
          <w:spacing w:val="0"/>
          <w:w w:val="100"/>
          <w:sz w:val="32"/>
          <w:szCs w:val="32"/>
          <w:highlight w:val="none"/>
        </w:rPr>
        <w:t>，</w:t>
      </w:r>
      <w:r>
        <w:rPr>
          <w:rFonts w:hint="default" w:ascii="Times New Roman" w:hAnsi="Times New Roman" w:eastAsia="仿宋_GB2312" w:cs="Times New Roman"/>
          <w:color w:val="auto"/>
          <w:spacing w:val="0"/>
          <w:w w:val="100"/>
          <w:sz w:val="32"/>
          <w:szCs w:val="32"/>
          <w:highlight w:val="none"/>
          <w:u w:val="none" w:color="auto"/>
          <w:lang w:val="en-US" w:eastAsia="zh-CN"/>
        </w:rPr>
        <w:t>当事人未按照国家有关规定的期限报送并公示年度报告的违法行为，</w:t>
      </w:r>
      <w:r>
        <w:rPr>
          <w:rFonts w:hint="default" w:ascii="Times New Roman" w:hAnsi="Times New Roman" w:eastAsia="仿宋_GB2312" w:cs="Times New Roman"/>
          <w:color w:val="auto"/>
          <w:sz w:val="32"/>
          <w:szCs w:val="32"/>
          <w:highlight w:val="none"/>
          <w:lang w:val="en-US" w:eastAsia="zh-CN"/>
        </w:rPr>
        <w:t>依据</w:t>
      </w:r>
      <w:r>
        <w:rPr>
          <w:rFonts w:hint="eastAsia" w:ascii="仿宋_GB2312" w:hAnsi="仿宋_GB2312" w:eastAsia="仿宋_GB2312" w:cs="仿宋_GB2312"/>
          <w:color w:val="auto"/>
          <w:sz w:val="32"/>
          <w:szCs w:val="32"/>
          <w:highlight w:val="none"/>
          <w:lang w:val="en-US" w:eastAsia="zh-CN"/>
        </w:rPr>
        <w:t>《中华人民共和国行政处罚法》第二十八条第一款“行政机关实施行政处罚时，应当责令当事人改正或者限期改正违法行为。”和</w:t>
      </w:r>
      <w:r>
        <w:rPr>
          <w:rFonts w:hint="default" w:ascii="Times New Roman" w:hAnsi="Times New Roman" w:eastAsia="仿宋_GB2312" w:cs="Times New Roman"/>
          <w:color w:val="auto"/>
          <w:sz w:val="32"/>
          <w:szCs w:val="32"/>
          <w:highlight w:val="none"/>
          <w:lang w:val="en-US" w:eastAsia="zh-CN"/>
        </w:rPr>
        <w:t>《中华人民共和国市场主体登记管理条例实施细则》第七十条“市场主体未按照法律、行政法规规定的期限报送并公示年度报告</w:t>
      </w:r>
      <w:r>
        <w:rPr>
          <w:rFonts w:hint="default" w:ascii="Times New Roman" w:hAnsi="Times New Roman" w:eastAsia="仿宋_GB2312" w:cs="Times New Roman"/>
          <w:color w:val="auto"/>
          <w:spacing w:val="0"/>
          <w:w w:val="100"/>
          <w:sz w:val="32"/>
          <w:szCs w:val="32"/>
          <w:highlight w:val="none"/>
          <w:u w:val="none" w:color="auto"/>
          <w:lang w:val="en-US" w:eastAsia="zh-CN"/>
        </w:rPr>
        <w:t>的，由登记机关列入经营异常名录，可以处1万元以下的罚款。”的规定，</w:t>
      </w:r>
      <w:r>
        <w:rPr>
          <w:rFonts w:hint="eastAsia" w:ascii="Times New Roman" w:hAnsi="Times New Roman" w:eastAsia="仿宋_GB2312" w:cs="Times New Roman"/>
          <w:color w:val="auto"/>
          <w:spacing w:val="0"/>
          <w:w w:val="100"/>
          <w:sz w:val="32"/>
          <w:szCs w:val="32"/>
          <w:highlight w:val="none"/>
          <w:u w:val="none" w:color="auto"/>
          <w:lang w:val="en-US" w:eastAsia="zh-CN"/>
        </w:rPr>
        <w:t>现</w:t>
      </w:r>
      <w:r>
        <w:rPr>
          <w:rFonts w:hint="default" w:ascii="Times New Roman" w:hAnsi="Times New Roman" w:eastAsia="仿宋_GB2312" w:cs="Times New Roman"/>
          <w:color w:val="auto"/>
          <w:spacing w:val="0"/>
          <w:w w:val="100"/>
          <w:sz w:val="32"/>
          <w:szCs w:val="32"/>
          <w:highlight w:val="none"/>
          <w:u w:val="none" w:color="auto"/>
          <w:lang w:val="en-US" w:eastAsia="zh-CN"/>
        </w:rPr>
        <w:t>责令当事人</w:t>
      </w:r>
      <w:r>
        <w:rPr>
          <w:rFonts w:hint="eastAsia" w:ascii="Times New Roman" w:hAnsi="Times New Roman" w:eastAsia="仿宋_GB2312" w:cs="Times New Roman"/>
          <w:color w:val="auto"/>
          <w:spacing w:val="0"/>
          <w:w w:val="100"/>
          <w:sz w:val="32"/>
          <w:szCs w:val="32"/>
          <w:highlight w:val="none"/>
          <w:u w:val="none" w:color="auto"/>
          <w:lang w:val="en-US" w:eastAsia="zh-CN"/>
        </w:rPr>
        <w:t>立即</w:t>
      </w:r>
      <w:r>
        <w:rPr>
          <w:rFonts w:hint="default" w:ascii="Times New Roman" w:hAnsi="Times New Roman" w:eastAsia="仿宋_GB2312" w:cs="Times New Roman"/>
          <w:color w:val="auto"/>
          <w:spacing w:val="0"/>
          <w:w w:val="100"/>
          <w:sz w:val="32"/>
          <w:szCs w:val="32"/>
          <w:highlight w:val="none"/>
          <w:u w:val="none" w:color="auto"/>
          <w:lang w:val="en-US" w:eastAsia="zh-CN"/>
        </w:rPr>
        <w:t>改正上述违法行为，并处罚款2</w:t>
      </w:r>
      <w:r>
        <w:rPr>
          <w:rFonts w:hint="eastAsia" w:ascii="Times New Roman" w:hAnsi="Times New Roman" w:eastAsia="仿宋_GB2312" w:cs="Times New Roman"/>
          <w:color w:val="auto"/>
          <w:spacing w:val="0"/>
          <w:w w:val="100"/>
          <w:sz w:val="32"/>
          <w:szCs w:val="32"/>
          <w:highlight w:val="none"/>
          <w:u w:val="none" w:color="auto"/>
          <w:lang w:val="en-US" w:eastAsia="zh-CN"/>
        </w:rPr>
        <w:t>727</w:t>
      </w:r>
      <w:r>
        <w:rPr>
          <w:rFonts w:hint="default" w:ascii="Times New Roman" w:hAnsi="Times New Roman" w:eastAsia="仿宋_GB2312" w:cs="Times New Roman"/>
          <w:color w:val="auto"/>
          <w:spacing w:val="0"/>
          <w:w w:val="100"/>
          <w:sz w:val="32"/>
          <w:szCs w:val="32"/>
          <w:highlight w:val="none"/>
          <w:u w:val="none" w:color="auto"/>
          <w:lang w:val="en-US" w:eastAsia="zh-CN"/>
        </w:rPr>
        <w:t>元（贰仟柒佰贰拾柒元）。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请于收到本处罚决定书之日起十五日内，凭</w:t>
      </w:r>
      <w:r>
        <w:rPr>
          <w:rFonts w:hint="eastAsia" w:ascii="仿宋_GB2312" w:hAnsi="仿宋_GB2312" w:eastAsia="仿宋_GB2312" w:cs="仿宋_GB2312"/>
          <w:color w:val="auto"/>
          <w:sz w:val="32"/>
          <w:szCs w:val="32"/>
          <w:highlight w:val="none"/>
          <w:u w:val="single"/>
        </w:rPr>
        <w:t>新疆生产建设兵团</w:t>
      </w:r>
      <w:r>
        <w:rPr>
          <w:rFonts w:hint="eastAsia" w:ascii="仿宋_GB2312" w:hAnsi="仿宋_GB2312" w:eastAsia="仿宋_GB2312" w:cs="仿宋_GB2312"/>
          <w:b w:val="0"/>
          <w:bCs w:val="0"/>
          <w:color w:val="auto"/>
          <w:kern w:val="2"/>
          <w:sz w:val="32"/>
          <w:szCs w:val="32"/>
          <w:highlight w:val="none"/>
          <w:lang w:val="en-US" w:eastAsia="zh-CN" w:bidi="ar-SA"/>
        </w:rPr>
        <w:t>非税收入电子缴款通知书的缴款识别码到</w:t>
      </w:r>
      <w:r>
        <w:rPr>
          <w:rFonts w:hint="eastAsia" w:ascii="仿宋_GB2312" w:hAnsi="仿宋_GB2312" w:eastAsia="仿宋_GB2312" w:cs="仿宋_GB2312"/>
          <w:b w:val="0"/>
          <w:bCs w:val="0"/>
          <w:color w:val="auto"/>
          <w:kern w:val="2"/>
          <w:sz w:val="32"/>
          <w:szCs w:val="32"/>
          <w:highlight w:val="none"/>
          <w:u w:val="single"/>
          <w:lang w:val="en-US" w:eastAsia="zh-CN" w:bidi="ar-SA"/>
        </w:rPr>
        <w:t>中国农业</w:t>
      </w:r>
      <w:r>
        <w:rPr>
          <w:rFonts w:hint="eastAsia" w:ascii="仿宋_GB2312" w:hAnsi="仿宋_GB2312" w:eastAsia="仿宋_GB2312" w:cs="仿宋_GB2312"/>
          <w:b w:val="0"/>
          <w:bCs w:val="0"/>
          <w:color w:val="auto"/>
          <w:kern w:val="2"/>
          <w:sz w:val="32"/>
          <w:szCs w:val="32"/>
          <w:highlight w:val="none"/>
          <w:lang w:val="en-US" w:eastAsia="zh-CN" w:bidi="ar-SA"/>
        </w:rPr>
        <w:t>银行或者通过电子支付系统缴纳罚没款。逾期不缴纳罚款的，依据《中华人民共和国行政处罚法》第七十二条的规定，本局将每日按罚款数额的百分之三加处罚款，并依法申请人民法院强制执行。</w:t>
      </w:r>
    </w:p>
    <w:p>
      <w:pPr>
        <w:pStyle w:val="7"/>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kern w:val="2"/>
          <w:sz w:val="32"/>
          <w:szCs w:val="32"/>
          <w:highlight w:val="none"/>
          <w:lang w:val="en-US" w:eastAsia="zh-CN" w:bidi="ar-SA"/>
        </w:rPr>
        <w:t>如当事人不服本行政处罚决定，可在收到本决定</w:t>
      </w:r>
      <w:r>
        <w:rPr>
          <w:rFonts w:hint="eastAsia" w:ascii="仿宋_GB2312" w:hAnsi="仿宋_GB2312" w:eastAsia="仿宋_GB2312" w:cs="仿宋_GB2312"/>
          <w:b w:val="0"/>
          <w:bCs w:val="0"/>
          <w:color w:val="auto"/>
          <w:kern w:val="2"/>
          <w:sz w:val="32"/>
          <w:szCs w:val="32"/>
          <w:highlight w:val="none"/>
          <w:u w:val="none"/>
          <w:lang w:val="en-US" w:eastAsia="zh-CN" w:bidi="ar-SA"/>
        </w:rPr>
        <w:t>书之日起</w:t>
      </w:r>
      <w:r>
        <w:rPr>
          <w:rFonts w:hint="eastAsia" w:ascii="仿宋_GB2312" w:hAnsi="仿宋_GB2312" w:eastAsia="仿宋_GB2312" w:cs="仿宋_GB2312"/>
          <w:b w:val="0"/>
          <w:bCs w:val="0"/>
          <w:color w:val="auto"/>
          <w:kern w:val="2"/>
          <w:sz w:val="32"/>
          <w:szCs w:val="32"/>
          <w:highlight w:val="none"/>
          <w:u w:val="single"/>
          <w:lang w:val="en-US" w:eastAsia="zh-CN" w:bidi="ar-SA"/>
        </w:rPr>
        <w:t>六十日</w:t>
      </w:r>
      <w:r>
        <w:rPr>
          <w:rFonts w:hint="eastAsia" w:ascii="仿宋_GB2312" w:hAnsi="仿宋_GB2312" w:eastAsia="仿宋_GB2312" w:cs="仿宋_GB2312"/>
          <w:b w:val="0"/>
          <w:bCs w:val="0"/>
          <w:color w:val="auto"/>
          <w:kern w:val="2"/>
          <w:sz w:val="32"/>
          <w:szCs w:val="32"/>
          <w:highlight w:val="none"/>
          <w:u w:val="none"/>
          <w:lang w:val="en-US" w:eastAsia="zh-CN" w:bidi="ar-SA"/>
        </w:rPr>
        <w:t>内</w:t>
      </w:r>
      <w:r>
        <w:rPr>
          <w:rFonts w:hint="eastAsia" w:ascii="仿宋_GB2312" w:hAnsi="仿宋_GB2312" w:eastAsia="仿宋_GB2312" w:cs="仿宋_GB2312"/>
          <w:b w:val="0"/>
          <w:bCs w:val="0"/>
          <w:color w:val="auto"/>
          <w:kern w:val="2"/>
          <w:sz w:val="32"/>
          <w:szCs w:val="32"/>
          <w:highlight w:val="none"/>
          <w:lang w:val="en-US" w:eastAsia="zh-CN" w:bidi="ar-SA"/>
        </w:rPr>
        <w:t>向</w:t>
      </w:r>
      <w:r>
        <w:rPr>
          <w:rFonts w:hint="eastAsia" w:ascii="仿宋_GB2312" w:hAnsi="仿宋_GB2312" w:eastAsia="仿宋_GB2312" w:cs="仿宋_GB2312"/>
          <w:b w:val="0"/>
          <w:bCs w:val="0"/>
          <w:color w:val="auto"/>
          <w:kern w:val="2"/>
          <w:sz w:val="32"/>
          <w:szCs w:val="32"/>
          <w:highlight w:val="none"/>
          <w:u w:val="single"/>
          <w:lang w:val="en-US" w:eastAsia="zh-CN" w:bidi="ar-SA"/>
        </w:rPr>
        <w:t>第十四师</w:t>
      </w:r>
      <w:r>
        <w:rPr>
          <w:rFonts w:hint="eastAsia" w:ascii="仿宋_GB2312" w:hAnsi="仿宋_GB2312" w:eastAsia="仿宋_GB2312" w:cs="仿宋_GB2312"/>
          <w:b w:val="0"/>
          <w:bCs w:val="0"/>
          <w:color w:val="auto"/>
          <w:kern w:val="2"/>
          <w:sz w:val="32"/>
          <w:szCs w:val="32"/>
          <w:highlight w:val="none"/>
          <w:lang w:val="en-US" w:eastAsia="zh-CN" w:bidi="ar-SA"/>
        </w:rPr>
        <w:t>申请行政复议，</w:t>
      </w:r>
      <w:r>
        <w:rPr>
          <w:rFonts w:hint="eastAsia" w:ascii="仿宋_GB2312" w:hAnsi="仿宋_GB2312" w:eastAsia="仿宋_GB2312" w:cs="仿宋_GB2312"/>
          <w:color w:val="auto"/>
          <w:sz w:val="32"/>
          <w:szCs w:val="32"/>
          <w:highlight w:val="none"/>
        </w:rPr>
        <w:t>也可以</w:t>
      </w:r>
      <w:r>
        <w:rPr>
          <w:rFonts w:hint="eastAsia" w:ascii="仿宋_GB2312" w:hAnsi="仿宋_GB2312" w:eastAsia="仿宋_GB2312" w:cs="仿宋_GB2312"/>
          <w:color w:val="auto"/>
          <w:sz w:val="32"/>
          <w:szCs w:val="32"/>
          <w:highlight w:val="none"/>
          <w:u w:val="none"/>
        </w:rPr>
        <w:t>在</w:t>
      </w:r>
      <w:r>
        <w:rPr>
          <w:rFonts w:hint="eastAsia" w:ascii="仿宋_GB2312" w:hAnsi="仿宋_GB2312" w:eastAsia="仿宋_GB2312" w:cs="仿宋_GB2312"/>
          <w:color w:val="auto"/>
          <w:sz w:val="32"/>
          <w:szCs w:val="32"/>
          <w:highlight w:val="none"/>
          <w:u w:val="single"/>
          <w:lang w:eastAsia="zh-CN"/>
        </w:rPr>
        <w:t>六个月</w:t>
      </w:r>
      <w:r>
        <w:rPr>
          <w:rFonts w:hint="eastAsia" w:ascii="仿宋_GB2312" w:hAnsi="仿宋_GB2312" w:eastAsia="仿宋_GB2312" w:cs="仿宋_GB2312"/>
          <w:color w:val="auto"/>
          <w:sz w:val="32"/>
          <w:szCs w:val="32"/>
          <w:highlight w:val="none"/>
          <w:u w:val="none"/>
        </w:rPr>
        <w:t>内依</w:t>
      </w:r>
      <w:r>
        <w:rPr>
          <w:rFonts w:hint="eastAsia" w:ascii="仿宋_GB2312" w:hAnsi="仿宋_GB2312" w:eastAsia="仿宋_GB2312" w:cs="仿宋_GB2312"/>
          <w:color w:val="auto"/>
          <w:sz w:val="32"/>
          <w:szCs w:val="32"/>
          <w:highlight w:val="none"/>
        </w:rPr>
        <w:t>法向</w:t>
      </w:r>
      <w:r>
        <w:rPr>
          <w:rFonts w:hint="eastAsia" w:ascii="仿宋_GB2312" w:hAnsi="仿宋_GB2312" w:eastAsia="仿宋_GB2312" w:cs="仿宋_GB2312"/>
          <w:color w:val="auto"/>
          <w:sz w:val="32"/>
          <w:szCs w:val="32"/>
          <w:highlight w:val="none"/>
          <w:u w:val="single"/>
          <w:lang w:val="en-US" w:eastAsia="zh-CN"/>
        </w:rPr>
        <w:t>新疆生产建设兵团和田垦区人民</w:t>
      </w:r>
      <w:r>
        <w:rPr>
          <w:rFonts w:hint="eastAsia" w:ascii="仿宋_GB2312" w:hAnsi="仿宋_GB2312" w:eastAsia="仿宋_GB2312" w:cs="仿宋_GB2312"/>
          <w:color w:val="auto"/>
          <w:sz w:val="32"/>
          <w:szCs w:val="32"/>
          <w:highlight w:val="none"/>
          <w:u w:val="single"/>
        </w:rPr>
        <w:t>法院</w:t>
      </w:r>
      <w:r>
        <w:rPr>
          <w:rFonts w:hint="eastAsia" w:ascii="仿宋_GB2312" w:hAnsi="仿宋_GB2312" w:eastAsia="仿宋_GB2312" w:cs="仿宋_GB2312"/>
          <w:color w:val="auto"/>
          <w:sz w:val="32"/>
          <w:szCs w:val="32"/>
          <w:highlight w:val="none"/>
        </w:rPr>
        <w:t>提起行政诉讼。复议和诉讼期间，行政处罚不停止执行。</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pStyle w:val="6"/>
        <w:ind w:firstLine="4160" w:firstLineChars="1300"/>
        <w:jc w:val="both"/>
        <w:rPr>
          <w:sz w:val="32"/>
          <w:szCs w:val="28"/>
        </w:rPr>
      </w:pPr>
      <w:r>
        <w:rPr>
          <w:rFonts w:hint="eastAsia"/>
          <w:sz w:val="32"/>
          <w:szCs w:val="28"/>
          <w:lang w:val="en-US" w:eastAsia="zh-CN"/>
        </w:rPr>
        <w:t>第十四师</w:t>
      </w:r>
      <w:r>
        <w:rPr>
          <w:sz w:val="32"/>
          <w:szCs w:val="28"/>
        </w:rPr>
        <w:t>市场监督管理局</w:t>
      </w:r>
      <w:r>
        <w:rPr>
          <w:rFonts w:hint="eastAsia"/>
          <w:sz w:val="32"/>
          <w:szCs w:val="28"/>
          <w:lang w:val="en-US" w:eastAsia="zh-CN"/>
        </w:rPr>
        <w:t xml:space="preserve">                  </w:t>
      </w:r>
    </w:p>
    <w:p>
      <w:pPr>
        <w:pStyle w:val="6"/>
        <w:jc w:val="center"/>
        <w:rPr>
          <w:rFonts w:hint="default" w:ascii="Times New Roman" w:hAnsi="Times New Roman" w:cs="Times New Roman"/>
          <w:spacing w:val="-1"/>
          <w:w w:val="95"/>
          <w:sz w:val="32"/>
          <w:szCs w:val="28"/>
        </w:rPr>
      </w:pPr>
      <w:r>
        <w:rPr>
          <w:rFonts w:hint="eastAsia"/>
          <w:lang w:val="en-US" w:eastAsia="zh-CN"/>
        </w:rPr>
        <w:t xml:space="preserve">                          </w:t>
      </w:r>
      <w:r>
        <w:rPr>
          <w:rFonts w:hint="default" w:ascii="Times New Roman" w:hAnsi="Times New Roman" w:cs="Times New Roman"/>
          <w:sz w:val="32"/>
          <w:szCs w:val="28"/>
          <w:lang w:val="en-US" w:eastAsia="zh-CN"/>
        </w:rPr>
        <w:t>2024年</w:t>
      </w:r>
      <w:r>
        <w:rPr>
          <w:rFonts w:hint="default" w:ascii="Times New Roman" w:hAnsi="Times New Roman" w:cs="Times New Roman"/>
          <w:sz w:val="32"/>
          <w:szCs w:val="28"/>
        </w:rPr>
        <w:t xml:space="preserve"> </w:t>
      </w:r>
      <w:r>
        <w:rPr>
          <w:rFonts w:hint="default" w:ascii="Times New Roman" w:hAnsi="Times New Roman" w:cs="Times New Roman"/>
          <w:sz w:val="32"/>
          <w:szCs w:val="28"/>
          <w:lang w:val="en-US" w:eastAsia="zh-CN"/>
        </w:rPr>
        <w:t>1</w:t>
      </w:r>
      <w:r>
        <w:rPr>
          <w:rFonts w:hint="eastAsia" w:ascii="Times New Roman" w:hAnsi="Times New Roman" w:cs="Times New Roman"/>
          <w:sz w:val="32"/>
          <w:szCs w:val="28"/>
          <w:lang w:val="en-US" w:eastAsia="zh-CN"/>
        </w:rPr>
        <w:t>2</w:t>
      </w:r>
      <w:r>
        <w:rPr>
          <w:rFonts w:hint="default" w:ascii="Times New Roman" w:hAnsi="Times New Roman" w:cs="Times New Roman"/>
          <w:sz w:val="32"/>
          <w:szCs w:val="28"/>
        </w:rPr>
        <w:t>月</w:t>
      </w:r>
      <w:r>
        <w:rPr>
          <w:rFonts w:hint="eastAsia" w:ascii="Times New Roman" w:hAnsi="Times New Roman" w:cs="Times New Roman"/>
          <w:sz w:val="32"/>
          <w:szCs w:val="28"/>
          <w:lang w:val="en-US" w:eastAsia="zh-CN"/>
        </w:rPr>
        <w:t>23</w:t>
      </w:r>
      <w:r>
        <w:rPr>
          <w:rFonts w:hint="default" w:ascii="Times New Roman" w:hAnsi="Times New Roman" w:cs="Times New Roman"/>
          <w:spacing w:val="-1"/>
          <w:w w:val="95"/>
          <w:sz w:val="32"/>
          <w:szCs w:val="28"/>
        </w:rPr>
        <w:t>日</w:t>
      </w:r>
    </w:p>
    <w:p>
      <w:pPr>
        <w:pStyle w:val="6"/>
        <w:jc w:val="right"/>
        <w:rPr>
          <w:spacing w:val="-1"/>
          <w:w w:val="95"/>
        </w:rPr>
      </w:pPr>
    </w:p>
    <w:p>
      <w:pPr>
        <w:pStyle w:val="7"/>
        <w:ind w:left="0" w:leftChars="0" w:firstLine="0" w:firstLineChars="0"/>
        <w:rPr>
          <w:rFonts w:hint="eastAsia" w:ascii="黑体" w:hAnsi="黑体" w:eastAsia="黑体"/>
          <w:color w:val="auto"/>
        </w:rPr>
      </w:pPr>
    </w:p>
    <w:p>
      <w:pPr>
        <w:pStyle w:val="7"/>
        <w:ind w:firstLine="560"/>
        <w:rPr>
          <w:rFonts w:hint="eastAsia" w:ascii="黑体" w:hAnsi="黑体" w:eastAsia="黑体"/>
          <w:color w:val="auto"/>
        </w:rPr>
      </w:pPr>
    </w:p>
    <w:p>
      <w:pPr>
        <w:pStyle w:val="7"/>
        <w:ind w:firstLine="560"/>
        <w:rPr>
          <w:spacing w:val="-1"/>
          <w:w w:val="95"/>
        </w:rPr>
      </w:pPr>
      <w:r>
        <w:rPr>
          <w:rFonts w:hint="eastAsia" w:ascii="黑体" w:hAnsi="黑体" w:eastAsia="黑体"/>
          <w:color w:val="auto"/>
        </w:rPr>
        <w:t>（市场监督管理部门将依法向社会公开行政处罚决定信息）</w:t>
      </w: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widowControl/>
        <w:pBdr>
          <w:top w:val="single" w:color="auto" w:sz="4" w:space="1"/>
        </w:pBdr>
        <w:jc w:val="left"/>
        <w:rPr>
          <w:rFonts w:hint="eastAsia"/>
          <w:lang w:val="en-US" w:eastAsia="zh-CN"/>
        </w:rPr>
      </w:pPr>
      <w:r>
        <w:rPr>
          <w:rFonts w:hint="eastAsia" w:ascii="仿宋_GB2312" w:hAnsi="宋体" w:eastAsia="仿宋_GB2312" w:cs="宋体"/>
          <w:kern w:val="0"/>
          <w:sz w:val="28"/>
          <w:szCs w:val="28"/>
        </w:rPr>
        <w:t>本文书一式</w:t>
      </w:r>
      <w:r>
        <w:rPr>
          <w:w w:val="99"/>
          <w:sz w:val="28"/>
          <w:szCs w:val="28"/>
          <w:u w:val="single"/>
        </w:rPr>
        <w:t xml:space="preserve">      </w:t>
      </w:r>
      <w:r>
        <w:rPr>
          <w:rFonts w:hint="eastAsia" w:ascii="仿宋_GB2312" w:hAnsi="宋体" w:eastAsia="仿宋_GB2312" w:cs="宋体"/>
          <w:kern w:val="0"/>
          <w:sz w:val="28"/>
          <w:szCs w:val="28"/>
        </w:rPr>
        <w:t>份，</w:t>
      </w:r>
      <w:r>
        <w:rPr>
          <w:w w:val="99"/>
          <w:sz w:val="28"/>
          <w:szCs w:val="28"/>
          <w:u w:val="single"/>
        </w:rPr>
        <w:t xml:space="preserve">      </w:t>
      </w:r>
      <w:r>
        <w:rPr>
          <w:rFonts w:hint="eastAsia" w:ascii="仿宋_GB2312" w:hAnsi="宋体" w:eastAsia="仿宋_GB2312" w:cs="宋体"/>
          <w:kern w:val="0"/>
          <w:sz w:val="28"/>
          <w:szCs w:val="28"/>
        </w:rPr>
        <w:t>份送达，一份归档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hNGJiMWVmZTg4ZjFhYWZhYWFiMzBkODkwYWRkZmUifQ=="/>
    <w:docVar w:name="KSO_WPS_MARK_KEY" w:val="973002e5-0f62-429f-8e3b-32a41afccff5"/>
  </w:docVars>
  <w:rsids>
    <w:rsidRoot w:val="00000000"/>
    <w:rsid w:val="00695D5C"/>
    <w:rsid w:val="00751278"/>
    <w:rsid w:val="00902C2A"/>
    <w:rsid w:val="00A87F74"/>
    <w:rsid w:val="00F9432B"/>
    <w:rsid w:val="015772A4"/>
    <w:rsid w:val="016320EC"/>
    <w:rsid w:val="021F6013"/>
    <w:rsid w:val="02223D56"/>
    <w:rsid w:val="0227263C"/>
    <w:rsid w:val="025D6B3C"/>
    <w:rsid w:val="02775E4F"/>
    <w:rsid w:val="02BF3353"/>
    <w:rsid w:val="032B09E8"/>
    <w:rsid w:val="04161698"/>
    <w:rsid w:val="057A17B3"/>
    <w:rsid w:val="05AA7659"/>
    <w:rsid w:val="07AD2313"/>
    <w:rsid w:val="084B4DB3"/>
    <w:rsid w:val="0865499C"/>
    <w:rsid w:val="0911242E"/>
    <w:rsid w:val="09B71227"/>
    <w:rsid w:val="09C33728"/>
    <w:rsid w:val="0A127E7E"/>
    <w:rsid w:val="0AEE0C79"/>
    <w:rsid w:val="0B9A670B"/>
    <w:rsid w:val="0BB35A1E"/>
    <w:rsid w:val="0C527599"/>
    <w:rsid w:val="0CD619C5"/>
    <w:rsid w:val="0D2070E4"/>
    <w:rsid w:val="0D3D1A44"/>
    <w:rsid w:val="0D4234FE"/>
    <w:rsid w:val="0D6B65B1"/>
    <w:rsid w:val="0D9934A8"/>
    <w:rsid w:val="0E673007"/>
    <w:rsid w:val="0E7616B1"/>
    <w:rsid w:val="0F9B0CA3"/>
    <w:rsid w:val="0FDE750E"/>
    <w:rsid w:val="10563548"/>
    <w:rsid w:val="105E064F"/>
    <w:rsid w:val="11D30BC8"/>
    <w:rsid w:val="121F796A"/>
    <w:rsid w:val="122B27B2"/>
    <w:rsid w:val="123A29F6"/>
    <w:rsid w:val="12D44BF8"/>
    <w:rsid w:val="13021765"/>
    <w:rsid w:val="13CF716E"/>
    <w:rsid w:val="13D6674E"/>
    <w:rsid w:val="1440401F"/>
    <w:rsid w:val="15015A4D"/>
    <w:rsid w:val="15086DDB"/>
    <w:rsid w:val="15545B7C"/>
    <w:rsid w:val="15C54CCC"/>
    <w:rsid w:val="16E96798"/>
    <w:rsid w:val="170715A7"/>
    <w:rsid w:val="179C380B"/>
    <w:rsid w:val="17CE60BA"/>
    <w:rsid w:val="18115FA7"/>
    <w:rsid w:val="18357EE7"/>
    <w:rsid w:val="185B5474"/>
    <w:rsid w:val="186A6BC4"/>
    <w:rsid w:val="1890511D"/>
    <w:rsid w:val="199155F1"/>
    <w:rsid w:val="19C143FB"/>
    <w:rsid w:val="19DD0836"/>
    <w:rsid w:val="1AB01AA7"/>
    <w:rsid w:val="1B4C19B0"/>
    <w:rsid w:val="1BCA303C"/>
    <w:rsid w:val="1BF9122C"/>
    <w:rsid w:val="1C7B4336"/>
    <w:rsid w:val="1CBA09BB"/>
    <w:rsid w:val="1CC161ED"/>
    <w:rsid w:val="1CE974F2"/>
    <w:rsid w:val="1D0C50A7"/>
    <w:rsid w:val="1D9B4C90"/>
    <w:rsid w:val="1DAD0520"/>
    <w:rsid w:val="1DCF493A"/>
    <w:rsid w:val="1DDF0021"/>
    <w:rsid w:val="1E075E82"/>
    <w:rsid w:val="1E5E181A"/>
    <w:rsid w:val="1E8474D2"/>
    <w:rsid w:val="1F666BD8"/>
    <w:rsid w:val="1F6966C8"/>
    <w:rsid w:val="1F923E71"/>
    <w:rsid w:val="1FB262C1"/>
    <w:rsid w:val="20A53730"/>
    <w:rsid w:val="20C718F8"/>
    <w:rsid w:val="211663DC"/>
    <w:rsid w:val="215D400B"/>
    <w:rsid w:val="21725D08"/>
    <w:rsid w:val="21751354"/>
    <w:rsid w:val="21AD0AEE"/>
    <w:rsid w:val="21BC3427"/>
    <w:rsid w:val="224376A4"/>
    <w:rsid w:val="22E42C35"/>
    <w:rsid w:val="244701E3"/>
    <w:rsid w:val="254479BB"/>
    <w:rsid w:val="25FA2770"/>
    <w:rsid w:val="263D5768"/>
    <w:rsid w:val="26AF5308"/>
    <w:rsid w:val="26D62895"/>
    <w:rsid w:val="27545EB0"/>
    <w:rsid w:val="27BD1CA7"/>
    <w:rsid w:val="28247630"/>
    <w:rsid w:val="28292197"/>
    <w:rsid w:val="282B4E63"/>
    <w:rsid w:val="287265EE"/>
    <w:rsid w:val="28EC2844"/>
    <w:rsid w:val="29143B49"/>
    <w:rsid w:val="2987256D"/>
    <w:rsid w:val="2A5F7045"/>
    <w:rsid w:val="2A7725E1"/>
    <w:rsid w:val="2B8A6344"/>
    <w:rsid w:val="2BC25ADE"/>
    <w:rsid w:val="2C077995"/>
    <w:rsid w:val="2C5D4138"/>
    <w:rsid w:val="2CA43435"/>
    <w:rsid w:val="2D144117"/>
    <w:rsid w:val="2D71156A"/>
    <w:rsid w:val="2DE97352"/>
    <w:rsid w:val="2E6D7F83"/>
    <w:rsid w:val="2F1E74CF"/>
    <w:rsid w:val="2FDC23B5"/>
    <w:rsid w:val="2FDE5E55"/>
    <w:rsid w:val="30077F63"/>
    <w:rsid w:val="306405FB"/>
    <w:rsid w:val="30E3452C"/>
    <w:rsid w:val="31280191"/>
    <w:rsid w:val="313E5C07"/>
    <w:rsid w:val="326F1DF0"/>
    <w:rsid w:val="32957AA8"/>
    <w:rsid w:val="33240E2C"/>
    <w:rsid w:val="334F40FB"/>
    <w:rsid w:val="33664FA1"/>
    <w:rsid w:val="33A8380B"/>
    <w:rsid w:val="34313801"/>
    <w:rsid w:val="34DA17F1"/>
    <w:rsid w:val="34DD1293"/>
    <w:rsid w:val="35A85D44"/>
    <w:rsid w:val="35B20971"/>
    <w:rsid w:val="35C12962"/>
    <w:rsid w:val="35FC399A"/>
    <w:rsid w:val="36405F7D"/>
    <w:rsid w:val="3643781B"/>
    <w:rsid w:val="36873DA2"/>
    <w:rsid w:val="368F0CB2"/>
    <w:rsid w:val="36C26992"/>
    <w:rsid w:val="36D13079"/>
    <w:rsid w:val="37557806"/>
    <w:rsid w:val="378D51F2"/>
    <w:rsid w:val="398C5BFA"/>
    <w:rsid w:val="3A59585F"/>
    <w:rsid w:val="3AE96BE3"/>
    <w:rsid w:val="3B1D063B"/>
    <w:rsid w:val="3BFB3C97"/>
    <w:rsid w:val="3C4816E7"/>
    <w:rsid w:val="3D0719EB"/>
    <w:rsid w:val="3D271561"/>
    <w:rsid w:val="3D8F3346"/>
    <w:rsid w:val="3E2D6A1C"/>
    <w:rsid w:val="3E4660FB"/>
    <w:rsid w:val="3F8D7751"/>
    <w:rsid w:val="3FFC1167"/>
    <w:rsid w:val="412A3AB2"/>
    <w:rsid w:val="41D028AB"/>
    <w:rsid w:val="42186000"/>
    <w:rsid w:val="42975177"/>
    <w:rsid w:val="436D237B"/>
    <w:rsid w:val="43931F5F"/>
    <w:rsid w:val="43993170"/>
    <w:rsid w:val="439E2535"/>
    <w:rsid w:val="43E048FB"/>
    <w:rsid w:val="440525B4"/>
    <w:rsid w:val="441D16AC"/>
    <w:rsid w:val="45525385"/>
    <w:rsid w:val="47240FA3"/>
    <w:rsid w:val="47A04ACD"/>
    <w:rsid w:val="485D29BF"/>
    <w:rsid w:val="48A759E8"/>
    <w:rsid w:val="491C4628"/>
    <w:rsid w:val="4944592C"/>
    <w:rsid w:val="497955D6"/>
    <w:rsid w:val="49A10689"/>
    <w:rsid w:val="49FA5FEB"/>
    <w:rsid w:val="4A117406"/>
    <w:rsid w:val="4A8204BA"/>
    <w:rsid w:val="4A9E2E1A"/>
    <w:rsid w:val="4AA03036"/>
    <w:rsid w:val="4B157580"/>
    <w:rsid w:val="4B2C0426"/>
    <w:rsid w:val="4B427C4A"/>
    <w:rsid w:val="4C373527"/>
    <w:rsid w:val="4CFD02CC"/>
    <w:rsid w:val="4D106251"/>
    <w:rsid w:val="4D752558"/>
    <w:rsid w:val="4DC4703C"/>
    <w:rsid w:val="4DD54DA5"/>
    <w:rsid w:val="4DE374C2"/>
    <w:rsid w:val="50281B04"/>
    <w:rsid w:val="506863A4"/>
    <w:rsid w:val="5187285A"/>
    <w:rsid w:val="519A07DF"/>
    <w:rsid w:val="51A67184"/>
    <w:rsid w:val="51BA2C30"/>
    <w:rsid w:val="51E25CE3"/>
    <w:rsid w:val="52CD0A2E"/>
    <w:rsid w:val="53071EA5"/>
    <w:rsid w:val="537A2677"/>
    <w:rsid w:val="53D14261"/>
    <w:rsid w:val="55700164"/>
    <w:rsid w:val="56521689"/>
    <w:rsid w:val="57811AFA"/>
    <w:rsid w:val="58296419"/>
    <w:rsid w:val="586C27AA"/>
    <w:rsid w:val="588875E4"/>
    <w:rsid w:val="593E7CA2"/>
    <w:rsid w:val="593F3A1A"/>
    <w:rsid w:val="59771406"/>
    <w:rsid w:val="59AD4E28"/>
    <w:rsid w:val="5A912B75"/>
    <w:rsid w:val="5A985AD8"/>
    <w:rsid w:val="5AF2343A"/>
    <w:rsid w:val="5B1433B1"/>
    <w:rsid w:val="5B611B88"/>
    <w:rsid w:val="5C2E5C15"/>
    <w:rsid w:val="5C6C0FCA"/>
    <w:rsid w:val="5C6F4617"/>
    <w:rsid w:val="5C8C6F77"/>
    <w:rsid w:val="5CD66444"/>
    <w:rsid w:val="5D30024A"/>
    <w:rsid w:val="5DC010E3"/>
    <w:rsid w:val="5DDB01B6"/>
    <w:rsid w:val="5F9C1BC7"/>
    <w:rsid w:val="5FDC0215"/>
    <w:rsid w:val="5FFE63DD"/>
    <w:rsid w:val="603D5158"/>
    <w:rsid w:val="60600E46"/>
    <w:rsid w:val="60822B6A"/>
    <w:rsid w:val="60A800F7"/>
    <w:rsid w:val="60AA3E6F"/>
    <w:rsid w:val="61073070"/>
    <w:rsid w:val="61412A26"/>
    <w:rsid w:val="627E3805"/>
    <w:rsid w:val="630C7DDB"/>
    <w:rsid w:val="63AB062A"/>
    <w:rsid w:val="63DA4A6C"/>
    <w:rsid w:val="640C6713"/>
    <w:rsid w:val="643A375C"/>
    <w:rsid w:val="64591E34"/>
    <w:rsid w:val="657C227E"/>
    <w:rsid w:val="659F7D1B"/>
    <w:rsid w:val="67332E10"/>
    <w:rsid w:val="68273FF7"/>
    <w:rsid w:val="68E85E7D"/>
    <w:rsid w:val="69B12712"/>
    <w:rsid w:val="69B8584F"/>
    <w:rsid w:val="6A384AF8"/>
    <w:rsid w:val="6BAF2C82"/>
    <w:rsid w:val="6C16685D"/>
    <w:rsid w:val="6CF546C4"/>
    <w:rsid w:val="6DD10C8D"/>
    <w:rsid w:val="6F143527"/>
    <w:rsid w:val="702A28D7"/>
    <w:rsid w:val="715A20D1"/>
    <w:rsid w:val="715C7408"/>
    <w:rsid w:val="71A14E1B"/>
    <w:rsid w:val="75D0585A"/>
    <w:rsid w:val="75E55C1E"/>
    <w:rsid w:val="75F220E9"/>
    <w:rsid w:val="7645046A"/>
    <w:rsid w:val="766052A4"/>
    <w:rsid w:val="76911902"/>
    <w:rsid w:val="76EC6B38"/>
    <w:rsid w:val="77106CCA"/>
    <w:rsid w:val="773D4C61"/>
    <w:rsid w:val="783469E8"/>
    <w:rsid w:val="78AD22F7"/>
    <w:rsid w:val="78C23FF4"/>
    <w:rsid w:val="790611E2"/>
    <w:rsid w:val="79497FCB"/>
    <w:rsid w:val="7A792DD8"/>
    <w:rsid w:val="7AA31C03"/>
    <w:rsid w:val="7C39281F"/>
    <w:rsid w:val="7CA0289E"/>
    <w:rsid w:val="7CD95DB0"/>
    <w:rsid w:val="7CE02C9B"/>
    <w:rsid w:val="7D562F5D"/>
    <w:rsid w:val="7DB008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Normal (Web)"/>
    <w:basedOn w:val="1"/>
    <w:unhideWhenUsed/>
    <w:qFormat/>
    <w:uiPriority w:val="0"/>
    <w:pPr>
      <w:spacing w:before="100" w:beforeAutospacing="1" w:after="100" w:afterAutospacing="1"/>
    </w:pPr>
    <w:rPr>
      <w:rFonts w:cs="Times New Roman"/>
      <w:sz w:val="24"/>
    </w:rPr>
  </w:style>
  <w:style w:type="paragraph" w:customStyle="1" w:styleId="6">
    <w:name w:val="正文+2"/>
    <w:basedOn w:val="1"/>
    <w:qFormat/>
    <w:uiPriority w:val="0"/>
    <w:pPr>
      <w:spacing w:line="360" w:lineRule="auto"/>
    </w:pPr>
    <w:rPr>
      <w:rFonts w:eastAsia="仿宋_GB2312"/>
      <w:sz w:val="28"/>
    </w:rPr>
  </w:style>
  <w:style w:type="paragraph" w:customStyle="1" w:styleId="7">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2704</Words>
  <Characters>2975</Characters>
  <Lines>0</Lines>
  <Paragraphs>0</Paragraphs>
  <TotalTime>1</TotalTime>
  <ScaleCrop>false</ScaleCrop>
  <LinksUpToDate>false</LinksUpToDate>
  <CharactersWithSpaces>3181</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2024-11-13T03:56:00Z</dcterms:created>
  <dc:creator>asus</dc:creator>
  <cp:lastModifiedBy>其</cp:lastModifiedBy>
  <dcterms:modified xsi:type="dcterms:W3CDTF">2024-12-25T03:37:59Z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BCC453F5A08D40708DB5C3CF3154B7B1_13</vt:lpwstr>
  </property>
</Properties>
</file>