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1BE256AE">
      <w:pPr>
        <w:jc w:val="right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</w:p>
    <w:tbl>
      <w:tblPr>
        <w:tblStyle w:val="10"/>
        <w:tblW w:w="0" w:type="auto"/>
        <w:tblInd w:w="55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3"/>
        <w:gridCol w:w="3100"/>
        <w:gridCol w:w="421"/>
      </w:tblGrid>
      <w:tr w14:paraId="210F03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A8F5886">
            <w:pPr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7C508CA5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18"/>
                <w:rFonts w:hint="eastAsia" w:ascii="楷体_GB2312" w:hAnsi="Times New Roman" w:eastAsia="楷体_GB2312" w:cs="楷体_GB2312"/>
                <w:b/>
                <w:bCs/>
                <w:sz w:val="30"/>
                <w:szCs w:val="30"/>
              </w:rPr>
              <w:t>统一社会信用代码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6BD0A70F">
            <w:pPr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</w:p>
        </w:tc>
      </w:tr>
      <w:tr w14:paraId="229F82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5320D37">
            <w:pPr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039C647B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18"/>
                <w:rFonts w:hint="default" w:ascii="Times New Roman" w:hAnsi="Times New Roman" w:eastAsia="楷体_GB2312" w:cs="Times New Roman"/>
                <w:b/>
                <w:bCs/>
                <w:sz w:val="30"/>
                <w:szCs w:val="30"/>
              </w:rPr>
              <w:t>12991400MB1J50365J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57C02DF3">
            <w:pPr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</w:p>
        </w:tc>
      </w:tr>
    </w:tbl>
    <w:p w14:paraId="02D7C047">
      <w:pPr>
        <w:jc w:val="right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p w14:paraId="7512AFB3">
      <w:pPr>
        <w:jc w:val="right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p w14:paraId="46847647">
      <w:pPr>
        <w:jc w:val="right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p w14:paraId="12A984C9">
      <w:pPr>
        <w:jc w:val="right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p w14:paraId="732F7FDA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Style w:val="16"/>
          <w:rFonts w:hint="eastAsia" w:ascii="黑体" w:hAnsi="宋体" w:eastAsia="黑体" w:cs="黑体"/>
          <w:b/>
          <w:bCs/>
          <w:spacing w:val="40"/>
          <w:sz w:val="52"/>
          <w:szCs w:val="52"/>
        </w:rPr>
        <w:t>事业单位法人年度报告书</w:t>
      </w:r>
    </w:p>
    <w:p w14:paraId="0120279E">
      <w:pPr>
        <w:jc w:val="center"/>
        <w:rPr>
          <w:rFonts w:hint="default" w:ascii="Times New Roman" w:hAnsi="Times New Roman" w:eastAsia="黑体" w:cs="Times New Roman"/>
          <w:b/>
          <w:bCs/>
          <w:spacing w:val="30"/>
          <w:kern w:val="2"/>
          <w:sz w:val="21"/>
          <w:szCs w:val="21"/>
        </w:rPr>
      </w:pPr>
      <w:r>
        <w:rPr>
          <w:rFonts w:hint="default" w:ascii="Times New Roman" w:hAnsi="Times New Roman" w:eastAsia="黑体" w:cs="Times New Roman"/>
          <w:b/>
          <w:bCs/>
          <w:spacing w:val="30"/>
          <w:kern w:val="2"/>
          <w:sz w:val="21"/>
          <w:szCs w:val="21"/>
        </w:rPr>
        <w:t xml:space="preserve"> </w:t>
      </w:r>
    </w:p>
    <w:tbl>
      <w:tblPr>
        <w:tblStyle w:val="10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4"/>
        <w:gridCol w:w="1814"/>
        <w:gridCol w:w="1440"/>
      </w:tblGrid>
      <w:tr w14:paraId="036180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068BD43F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18"/>
                <w:rFonts w:hint="eastAsia" w:ascii="楷体_GB2312" w:hAnsi="Times New Roman" w:eastAsia="楷体_GB2312" w:cs="楷体_GB2312"/>
                <w:b/>
                <w:bCs/>
                <w:sz w:val="30"/>
                <w:szCs w:val="30"/>
              </w:rPr>
              <w:t>（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2D4E95">
            <w:pPr>
              <w:jc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32"/>
                <w:szCs w:val="32"/>
              </w:rPr>
              <w:t>2024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276806A7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18"/>
                <w:rFonts w:hint="eastAsia" w:ascii="楷体_GB2312" w:hAnsi="Times New Roman" w:eastAsia="楷体_GB2312" w:cs="楷体_GB2312"/>
                <w:b/>
                <w:bCs/>
                <w:sz w:val="30"/>
                <w:szCs w:val="30"/>
              </w:rPr>
              <w:t>）年度</w:t>
            </w:r>
          </w:p>
        </w:tc>
      </w:tr>
    </w:tbl>
    <w:p w14:paraId="1CB087C1">
      <w:pPr>
        <w:jc w:val="center"/>
        <w:rPr>
          <w:rFonts w:hint="default" w:ascii="Times New Roman" w:hAnsi="Times New Roman" w:eastAsia="宋体" w:cs="Times New Roman"/>
          <w:b/>
          <w:bCs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b/>
          <w:bCs/>
          <w:kern w:val="2"/>
          <w:sz w:val="21"/>
          <w:szCs w:val="21"/>
        </w:rPr>
        <w:t xml:space="preserve"> </w:t>
      </w:r>
    </w:p>
    <w:p w14:paraId="2BEA9D7E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p w14:paraId="3AC2B52A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p w14:paraId="0CFEE161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p w14:paraId="74D652B2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</w:rPr>
        <w:t xml:space="preserve"> </w:t>
      </w:r>
    </w:p>
    <w:tbl>
      <w:tblPr>
        <w:tblStyle w:val="10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5"/>
        <w:gridCol w:w="5294"/>
      </w:tblGrid>
      <w:tr w14:paraId="45EB29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59324A">
            <w:pPr>
              <w:jc w:val="distribute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1"/>
                <w:rFonts w:hint="eastAsia" w:ascii="黑体" w:hAnsi="宋体" w:eastAsia="黑体" w:cs="黑体"/>
                <w:b/>
                <w:bCs/>
                <w:sz w:val="36"/>
                <w:szCs w:val="36"/>
              </w:rPr>
              <w:t>单 位 名 称</w:t>
            </w:r>
          </w:p>
        </w:tc>
        <w:tc>
          <w:tcPr>
            <w:tcW w:w="5294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vAlign w:val="bottom"/>
          </w:tcPr>
          <w:p w14:paraId="2E944D25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sz w:val="32"/>
                <w:szCs w:val="32"/>
              </w:rPr>
              <w:t>新疆生产建设兵团第十四师人民群众信访服务中心</w:t>
            </w:r>
          </w:p>
        </w:tc>
      </w:tr>
    </w:tbl>
    <w:p w14:paraId="3BDD4A7B">
      <w:pPr>
        <w:rPr>
          <w:rFonts w:hint="eastAsia" w:ascii="黑体" w:hAnsi="宋体" w:eastAsia="黑体" w:cs="黑体"/>
          <w:b/>
          <w:bCs/>
          <w:kern w:val="2"/>
          <w:sz w:val="24"/>
          <w:szCs w:val="24"/>
          <w:u w:val="single"/>
        </w:rPr>
      </w:pPr>
      <w:r>
        <w:rPr>
          <w:rFonts w:hint="eastAsia" w:ascii="黑体" w:hAnsi="宋体" w:eastAsia="黑体" w:cs="黑体"/>
          <w:b/>
          <w:bCs/>
          <w:kern w:val="2"/>
          <w:sz w:val="24"/>
          <w:szCs w:val="24"/>
          <w:u w:val="single"/>
        </w:rPr>
        <w:t xml:space="preserve"> </w:t>
      </w:r>
    </w:p>
    <w:tbl>
      <w:tblPr>
        <w:tblStyle w:val="10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5"/>
        <w:gridCol w:w="5254"/>
      </w:tblGrid>
      <w:tr w14:paraId="44C496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3E2B57">
            <w:pPr>
              <w:jc w:val="distribute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1"/>
                <w:rFonts w:hint="eastAsia" w:ascii="黑体" w:hAnsi="宋体" w:eastAsia="黑体" w:cs="黑体"/>
                <w:b/>
                <w:bCs/>
                <w:sz w:val="36"/>
                <w:szCs w:val="36"/>
              </w:rPr>
              <w:t>法</w:t>
            </w:r>
            <w:r>
              <w:rPr>
                <w:rStyle w:val="21"/>
                <w:rFonts w:hint="eastAsia" w:ascii="黑体" w:hAnsi="宋体" w:eastAsia="黑体" w:cs="黑体"/>
                <w:b/>
                <w:bCs/>
                <w:spacing w:val="30"/>
                <w:sz w:val="36"/>
                <w:szCs w:val="36"/>
              </w:rPr>
              <w:t>定代表</w:t>
            </w:r>
            <w:r>
              <w:rPr>
                <w:rStyle w:val="21"/>
                <w:rFonts w:hint="eastAsia" w:ascii="黑体" w:hAnsi="宋体" w:eastAsia="黑体" w:cs="黑体"/>
                <w:b/>
                <w:bCs/>
                <w:sz w:val="36"/>
                <w:szCs w:val="36"/>
              </w:rPr>
              <w:t>人</w:t>
            </w:r>
          </w:p>
        </w:tc>
        <w:tc>
          <w:tcPr>
            <w:tcW w:w="5254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vAlign w:val="bottom"/>
          </w:tcPr>
          <w:p w14:paraId="679835B9">
            <w:pPr>
              <w:jc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kern w:val="2"/>
                <w:sz w:val="32"/>
                <w:szCs w:val="32"/>
              </w:rPr>
              <w:t>张德平</w:t>
            </w:r>
          </w:p>
        </w:tc>
      </w:tr>
    </w:tbl>
    <w:p w14:paraId="71588A67">
      <w:pPr>
        <w:ind w:left="0" w:firstLine="723" w:firstLineChars="300"/>
        <w:rPr>
          <w:rFonts w:hint="eastAsia" w:ascii="黑体" w:hAnsi="宋体" w:eastAsia="黑体" w:cs="黑体"/>
          <w:b/>
          <w:bCs/>
          <w:kern w:val="2"/>
          <w:sz w:val="24"/>
          <w:szCs w:val="24"/>
          <w:u w:val="single"/>
        </w:rPr>
      </w:pPr>
      <w:r>
        <w:rPr>
          <w:rFonts w:hint="eastAsia" w:ascii="黑体" w:hAnsi="宋体" w:eastAsia="黑体" w:cs="黑体"/>
          <w:b/>
          <w:bCs/>
          <w:kern w:val="2"/>
          <w:sz w:val="24"/>
          <w:szCs w:val="24"/>
          <w:u w:val="single"/>
        </w:rPr>
        <w:t xml:space="preserve"> </w:t>
      </w:r>
    </w:p>
    <w:tbl>
      <w:tblPr>
        <w:tblStyle w:val="10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5"/>
        <w:gridCol w:w="5294"/>
      </w:tblGrid>
      <w:tr w14:paraId="662389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6D3EDA3">
            <w:pPr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35FD69A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</w:rPr>
              <w:t xml:space="preserve"> </w:t>
            </w:r>
          </w:p>
        </w:tc>
      </w:tr>
    </w:tbl>
    <w:p w14:paraId="4FFCFD1C">
      <w:pPr>
        <w:jc w:val="center"/>
        <w:rPr>
          <w:rFonts w:hint="eastAsia" w:ascii="黑体" w:hAnsi="宋体" w:eastAsia="黑体" w:cs="黑体"/>
          <w:b/>
          <w:bCs/>
          <w:kern w:val="2"/>
          <w:sz w:val="30"/>
          <w:szCs w:val="30"/>
          <w:u w:val="single"/>
        </w:rPr>
      </w:pPr>
      <w:r>
        <w:rPr>
          <w:rFonts w:hint="eastAsia" w:ascii="宋体" w:hAnsi="宋体" w:eastAsia="宋体" w:cs="宋体"/>
          <w:b/>
          <w:bCs/>
          <w:kern w:val="2"/>
          <w:sz w:val="30"/>
          <w:szCs w:val="30"/>
          <w:u w:val="single"/>
        </w:rPr>
        <w:t xml:space="preserve"> </w:t>
      </w:r>
    </w:p>
    <w:p w14:paraId="23700027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  <w:t xml:space="preserve"> </w:t>
      </w:r>
    </w:p>
    <w:p w14:paraId="045ECD86">
      <w:pPr>
        <w:jc w:val="center"/>
        <w:rPr>
          <w:rFonts w:hint="eastAsia" w:ascii="Times New Roman" w:hAnsi="Times New Roman" w:eastAsia="楷体_GB2312" w:cs="楷体_GB2312"/>
          <w:b/>
          <w:bCs/>
          <w:sz w:val="32"/>
          <w:szCs w:val="32"/>
        </w:rPr>
      </w:pPr>
      <w:r>
        <w:rPr>
          <w:rStyle w:val="22"/>
          <w:rFonts w:hint="eastAsia" w:ascii="Times New Roman" w:hAnsi="Times New Roman" w:eastAsia="楷体_GB2312" w:cs="楷体_GB2312"/>
          <w:b/>
          <w:bCs/>
          <w:sz w:val="32"/>
          <w:szCs w:val="32"/>
        </w:rPr>
        <w:t xml:space="preserve"> </w:t>
      </w:r>
    </w:p>
    <w:p w14:paraId="41F749F5">
      <w:pPr>
        <w:jc w:val="center"/>
        <w:rPr>
          <w:rFonts w:hint="eastAsia" w:ascii="Times New Roman" w:hAnsi="Times New Roman" w:eastAsia="楷体_GB2312" w:cs="楷体_GB2312"/>
          <w:b/>
          <w:bCs/>
          <w:sz w:val="32"/>
          <w:szCs w:val="32"/>
        </w:rPr>
      </w:pPr>
      <w:r>
        <w:rPr>
          <w:rStyle w:val="22"/>
          <w:rFonts w:hint="eastAsia" w:ascii="Times New Roman" w:hAnsi="Times New Roman" w:eastAsia="楷体_GB2312" w:cs="楷体_GB2312"/>
          <w:b/>
          <w:bCs/>
          <w:sz w:val="32"/>
          <w:szCs w:val="32"/>
        </w:rPr>
        <w:t xml:space="preserve"> </w:t>
      </w:r>
    </w:p>
    <w:p w14:paraId="62E6590A">
      <w:pPr>
        <w:jc w:val="center"/>
        <w:rPr>
          <w:rFonts w:hint="eastAsia" w:ascii="Times New Roman" w:hAnsi="Times New Roman" w:eastAsia="楷体_GB2312" w:cs="楷体_GB2312"/>
          <w:b/>
          <w:bCs/>
          <w:sz w:val="32"/>
          <w:szCs w:val="32"/>
        </w:rPr>
      </w:pPr>
      <w:r>
        <w:rPr>
          <w:rStyle w:val="22"/>
          <w:rFonts w:hint="eastAsia" w:ascii="Times New Roman" w:hAnsi="Times New Roman" w:eastAsia="楷体_GB2312" w:cs="楷体_GB2312"/>
          <w:b/>
          <w:bCs/>
          <w:sz w:val="32"/>
          <w:szCs w:val="32"/>
        </w:rPr>
        <w:t xml:space="preserve"> </w:t>
      </w:r>
    </w:p>
    <w:p w14:paraId="4E865E93">
      <w:pPr>
        <w:jc w:val="center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Style w:val="22"/>
          <w:rFonts w:hint="eastAsia" w:ascii="楷体_GB2312" w:hAnsi="Times New Roman" w:eastAsia="楷体_GB2312" w:cs="楷体_GB2312"/>
          <w:b/>
          <w:bCs/>
          <w:sz w:val="32"/>
          <w:szCs w:val="32"/>
        </w:rPr>
        <w:t>国家事业单位登记管理局制</w:t>
      </w:r>
    </w:p>
    <w:p w14:paraId="1AEF9704">
      <w:pPr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  <w:u w:val="single"/>
        </w:rPr>
        <w:t xml:space="preserve"> </w:t>
      </w:r>
    </w:p>
    <w:tbl>
      <w:tblPr>
        <w:tblStyle w:val="10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9"/>
        <w:gridCol w:w="2316"/>
        <w:gridCol w:w="1483"/>
        <w:gridCol w:w="1919"/>
        <w:gridCol w:w="1942"/>
      </w:tblGrid>
      <w:tr w14:paraId="43F106C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  <w:jc w:val="center"/>
        </w:trPr>
        <w:tc>
          <w:tcPr>
            <w:tcW w:w="2300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0" w:type="dxa"/>
            </w:tcMar>
            <w:vAlign w:val="center"/>
          </w:tcPr>
          <w:p w14:paraId="36EA5625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《事业</w:t>
            </w:r>
          </w:p>
          <w:p w14:paraId="1FEB1D78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单位</w:t>
            </w:r>
          </w:p>
          <w:p w14:paraId="0C17FA7E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法人</w:t>
            </w:r>
          </w:p>
          <w:p w14:paraId="7AFC2882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证书》</w:t>
            </w:r>
          </w:p>
          <w:p w14:paraId="6027F1A5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登载</w:t>
            </w:r>
          </w:p>
          <w:p w14:paraId="3A025B27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事项</w:t>
            </w:r>
          </w:p>
        </w:tc>
        <w:tc>
          <w:tcPr>
            <w:tcW w:w="2115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6B7C8A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单位名称</w:t>
            </w:r>
          </w:p>
        </w:tc>
        <w:tc>
          <w:tcPr>
            <w:tcW w:w="5925" w:type="dxa"/>
            <w:gridSpan w:val="3"/>
            <w:tcBorders>
              <w:top w:val="single" w:color="auto" w:sz="12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089697C0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line="240" w:lineRule="atLeast"/>
              <w:jc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楷体_GB2312" w:hAnsi="Times New Roman" w:eastAsia="楷体_GB2312" w:cs="楷体_GB2312"/>
                <w:kern w:val="2"/>
                <w:sz w:val="32"/>
                <w:szCs w:val="32"/>
              </w:rPr>
              <w:t>新疆生产建设兵团第十四师         人民群众信访服务中心</w:t>
            </w:r>
          </w:p>
        </w:tc>
      </w:tr>
      <w:tr w14:paraId="656537B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6" w:hRule="atLeast"/>
          <w:jc w:val="center"/>
        </w:trPr>
        <w:tc>
          <w:tcPr>
            <w:tcW w:w="230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0" w:type="dxa"/>
            </w:tcMar>
            <w:vAlign w:val="center"/>
          </w:tcPr>
          <w:p w14:paraId="4B56B487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0A1328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宗</w:t>
            </w:r>
            <w:r>
              <w:rPr>
                <w:rStyle w:val="22"/>
                <w:rFonts w:hint="eastAsia" w:ascii="Times New Roman" w:hAnsi="Times New Roman" w:eastAsia="楷体_GB2312" w:cs="楷体_GB2312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旨</w:t>
            </w:r>
            <w:r>
              <w:rPr>
                <w:rStyle w:val="22"/>
                <w:rFonts w:hint="eastAsia" w:ascii="Times New Roman" w:hAnsi="Times New Roman" w:eastAsia="楷体_GB2312" w:cs="楷体_GB2312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和</w:t>
            </w:r>
          </w:p>
          <w:p w14:paraId="503F6BBE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业务范围</w:t>
            </w:r>
          </w:p>
        </w:tc>
        <w:tc>
          <w:tcPr>
            <w:tcW w:w="592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4FFD9FFE">
            <w:pPr>
              <w:ind w:left="0" w:firstLine="480" w:firstLineChars="200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楷体_GB2312" w:hAnsi="Times New Roman" w:eastAsia="楷体_GB2312" w:cs="楷体_GB2312"/>
                <w:kern w:val="2"/>
                <w:sz w:val="24"/>
                <w:szCs w:val="24"/>
              </w:rPr>
              <w:t>承担师市机关各部门接访服务保障工作；承担来访群众法律咨询、心理疏导等协调服务工作；承担信访热线电话服务工作；承担应急值守、视频接访服务工作；承担驻京信访工作组有关服务保障工作；承担接访大厅日常管理等工作。</w:t>
            </w:r>
          </w:p>
        </w:tc>
      </w:tr>
      <w:tr w14:paraId="6058AFD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230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0" w:type="dxa"/>
            </w:tcMar>
            <w:vAlign w:val="center"/>
          </w:tcPr>
          <w:p w14:paraId="57C5E289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A60B5C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住</w:t>
            </w:r>
            <w:r>
              <w:rPr>
                <w:rStyle w:val="22"/>
                <w:rFonts w:hint="eastAsia" w:ascii="Times New Roman" w:hAnsi="Times New Roman" w:eastAsia="楷体_GB2312" w:cs="楷体_GB2312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22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</w:rPr>
              <w:t xml:space="preserve">   </w:t>
            </w: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所</w:t>
            </w:r>
          </w:p>
        </w:tc>
        <w:tc>
          <w:tcPr>
            <w:tcW w:w="592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209F3442">
            <w:pPr>
              <w:ind w:firstLine="480" w:firstLineChars="200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楷体_GB2312" w:hAnsi="Times New Roman" w:eastAsia="楷体_GB2312" w:cs="楷体_GB2312"/>
                <w:kern w:val="2"/>
                <w:sz w:val="24"/>
                <w:szCs w:val="24"/>
              </w:rPr>
              <w:t>新疆生产建设兵团第十四师昆玉市龙康苑24-105、106</w:t>
            </w:r>
          </w:p>
        </w:tc>
      </w:tr>
      <w:tr w14:paraId="368837A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230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0" w:type="dxa"/>
            </w:tcMar>
            <w:vAlign w:val="center"/>
          </w:tcPr>
          <w:p w14:paraId="051DBAA0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7827F3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法定代表人</w:t>
            </w:r>
          </w:p>
        </w:tc>
        <w:tc>
          <w:tcPr>
            <w:tcW w:w="592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0E003389">
            <w:pPr>
              <w:jc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楷体_GB2312" w:hAnsi="Times New Roman" w:eastAsia="楷体_GB2312" w:cs="楷体_GB2312"/>
                <w:kern w:val="2"/>
                <w:sz w:val="32"/>
                <w:szCs w:val="32"/>
              </w:rPr>
              <w:t>张德平</w:t>
            </w:r>
          </w:p>
        </w:tc>
      </w:tr>
      <w:tr w14:paraId="2001F6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230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0" w:type="dxa"/>
            </w:tcMar>
            <w:vAlign w:val="center"/>
          </w:tcPr>
          <w:p w14:paraId="5EEE35C8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C3C098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开办资金</w:t>
            </w:r>
          </w:p>
        </w:tc>
        <w:tc>
          <w:tcPr>
            <w:tcW w:w="592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7432DB4A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default" w:ascii="Times New Roman" w:hAnsi="Times New Roman" w:eastAsia="楷体_GB2312" w:cs="Times New Roman"/>
                <w:sz w:val="32"/>
                <w:szCs w:val="32"/>
              </w:rPr>
              <w:t>2.08</w:t>
            </w:r>
            <w:r>
              <w:rPr>
                <w:rStyle w:val="22"/>
                <w:rFonts w:hint="eastAsia" w:ascii="楷体_GB2312" w:hAnsi="Times New Roman" w:eastAsia="楷体_GB2312" w:cs="楷体_GB2312"/>
                <w:sz w:val="32"/>
                <w:szCs w:val="32"/>
              </w:rPr>
              <w:t>万元</w:t>
            </w:r>
          </w:p>
        </w:tc>
      </w:tr>
      <w:tr w14:paraId="1D5AEF3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230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0" w:type="dxa"/>
            </w:tcMar>
            <w:vAlign w:val="center"/>
          </w:tcPr>
          <w:p w14:paraId="35B1DA4E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BDBAEC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经费来源</w:t>
            </w:r>
          </w:p>
        </w:tc>
        <w:tc>
          <w:tcPr>
            <w:tcW w:w="592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3A6F5821">
            <w:pPr>
              <w:jc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楷体_GB2312" w:hAnsi="Times New Roman" w:eastAsia="楷体_GB2312" w:cs="楷体_GB2312"/>
                <w:kern w:val="2"/>
                <w:sz w:val="32"/>
                <w:szCs w:val="32"/>
              </w:rPr>
              <w:t>财政补助</w:t>
            </w:r>
          </w:p>
        </w:tc>
      </w:tr>
      <w:tr w14:paraId="79436CF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230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0" w:type="dxa"/>
            </w:tcMar>
            <w:vAlign w:val="center"/>
          </w:tcPr>
          <w:p w14:paraId="42E68FF9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2C8CF3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举办单位</w:t>
            </w:r>
          </w:p>
        </w:tc>
        <w:tc>
          <w:tcPr>
            <w:tcW w:w="592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62C01903">
            <w:pPr>
              <w:jc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楷体_GB2312" w:hAnsi="Times New Roman" w:eastAsia="楷体_GB2312" w:cs="楷体_GB2312"/>
                <w:kern w:val="2"/>
                <w:sz w:val="28"/>
                <w:szCs w:val="28"/>
              </w:rPr>
              <w:t>第十四师党委社会工作部（信访局）</w:t>
            </w:r>
          </w:p>
        </w:tc>
      </w:tr>
      <w:tr w14:paraId="039A36E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1900" w:type="dxa"/>
            <w:vMerge w:val="restart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F14A67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资产</w:t>
            </w:r>
          </w:p>
          <w:p w14:paraId="67D1A574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损益</w:t>
            </w:r>
          </w:p>
          <w:p w14:paraId="421946D5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情况</w:t>
            </w:r>
          </w:p>
        </w:tc>
        <w:tc>
          <w:tcPr>
            <w:tcW w:w="199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30151CF2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净资产合计（所有者权益合计）</w:t>
            </w:r>
          </w:p>
        </w:tc>
      </w:tr>
      <w:tr w14:paraId="08791D1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1900" w:type="dxa"/>
            <w:vMerge w:val="continue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AA8FA3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B02023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年初数（万元）</w:t>
            </w:r>
          </w:p>
        </w:tc>
        <w:tc>
          <w:tcPr>
            <w:tcW w:w="41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58B79027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年末数（万元）</w:t>
            </w:r>
          </w:p>
        </w:tc>
      </w:tr>
      <w:tr w14:paraId="031ABC1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1900" w:type="dxa"/>
            <w:vMerge w:val="continue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46C2C8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2DE11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32"/>
                <w:szCs w:val="32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32"/>
                <w:szCs w:val="32"/>
              </w:rPr>
              <w:t>4.058434</w:t>
            </w:r>
          </w:p>
        </w:tc>
        <w:tc>
          <w:tcPr>
            <w:tcW w:w="199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135DE98D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32"/>
                <w:szCs w:val="32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32"/>
                <w:szCs w:val="32"/>
              </w:rPr>
              <w:t>5.068776</w:t>
            </w:r>
          </w:p>
        </w:tc>
      </w:tr>
      <w:tr w14:paraId="765C160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170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A0276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网上名称</w:t>
            </w:r>
          </w:p>
        </w:tc>
        <w:tc>
          <w:tcPr>
            <w:tcW w:w="3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925349">
            <w:pPr>
              <w:jc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 w:val="0"/>
                <w:bCs w:val="0"/>
                <w:kern w:val="2"/>
                <w:sz w:val="32"/>
                <w:szCs w:val="32"/>
              </w:rPr>
              <w:t>无</w:t>
            </w:r>
          </w:p>
        </w:tc>
        <w:tc>
          <w:tcPr>
            <w:tcW w:w="21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874CA5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从业人数</w:t>
            </w:r>
          </w:p>
        </w:tc>
        <w:tc>
          <w:tcPr>
            <w:tcW w:w="19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4E2C7AE3">
            <w:pPr>
              <w:jc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32"/>
                <w:szCs w:val="32"/>
              </w:rPr>
              <w:t>4</w:t>
            </w:r>
          </w:p>
        </w:tc>
      </w:tr>
      <w:tr w14:paraId="2FC109A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8" w:hRule="atLeast"/>
          <w:jc w:val="center"/>
        </w:trPr>
        <w:tc>
          <w:tcPr>
            <w:tcW w:w="1700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shd w:val="clear" w:color="auto" w:fill="auto"/>
            <w:vAlign w:val="center"/>
          </w:tcPr>
          <w:p w14:paraId="512B460E">
            <w:pPr>
              <w:jc w:val="center"/>
              <w:rPr>
                <w:rFonts w:hint="eastAsia" w:ascii="Times New Roman" w:hAnsi="Times New Roman" w:eastAsia="楷体_GB2312" w:cs="楷体_GB2312"/>
                <w:b/>
                <w:bCs/>
                <w:sz w:val="32"/>
                <w:szCs w:val="32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对《条</w:t>
            </w:r>
          </w:p>
          <w:p w14:paraId="6E3A317D">
            <w:pPr>
              <w:jc w:val="center"/>
              <w:rPr>
                <w:rFonts w:hint="eastAsia" w:ascii="Times New Roman" w:hAnsi="Times New Roman" w:eastAsia="楷体_GB2312" w:cs="楷体_GB2312"/>
                <w:b/>
                <w:bCs/>
                <w:sz w:val="32"/>
                <w:szCs w:val="32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例》和</w:t>
            </w:r>
          </w:p>
          <w:p w14:paraId="21971DD2">
            <w:pPr>
              <w:jc w:val="center"/>
              <w:rPr>
                <w:rFonts w:hint="eastAsia" w:ascii="Times New Roman" w:hAnsi="Times New Roman" w:eastAsia="楷体_GB2312" w:cs="楷体_GB2312"/>
                <w:b/>
                <w:bCs/>
                <w:sz w:val="32"/>
                <w:szCs w:val="32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实施细</w:t>
            </w:r>
          </w:p>
          <w:p w14:paraId="0CC9E599">
            <w:pPr>
              <w:jc w:val="center"/>
              <w:rPr>
                <w:rFonts w:hint="eastAsia" w:ascii="Times New Roman" w:hAnsi="Times New Roman" w:eastAsia="楷体_GB2312" w:cs="楷体_GB2312"/>
                <w:b/>
                <w:bCs/>
                <w:sz w:val="32"/>
                <w:szCs w:val="32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则有关</w:t>
            </w:r>
          </w:p>
          <w:p w14:paraId="3784130A">
            <w:pPr>
              <w:jc w:val="center"/>
              <w:rPr>
                <w:rFonts w:hint="eastAsia" w:ascii="Times New Roman" w:hAnsi="Times New Roman" w:eastAsia="楷体_GB2312" w:cs="楷体_GB2312"/>
                <w:b/>
                <w:bCs/>
                <w:sz w:val="32"/>
                <w:szCs w:val="32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变更登</w:t>
            </w:r>
          </w:p>
          <w:p w14:paraId="11BB59BF">
            <w:pPr>
              <w:jc w:val="center"/>
              <w:rPr>
                <w:rFonts w:hint="eastAsia" w:ascii="Times New Roman" w:hAnsi="Times New Roman" w:eastAsia="楷体_GB2312" w:cs="楷体_GB2312"/>
                <w:b/>
                <w:bCs/>
                <w:sz w:val="32"/>
                <w:szCs w:val="32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记规定</w:t>
            </w:r>
          </w:p>
          <w:p w14:paraId="4133418F">
            <w:pPr>
              <w:jc w:val="center"/>
              <w:rPr>
                <w:rFonts w:hint="eastAsia" w:ascii="Times New Roman" w:hAnsi="Times New Roman" w:eastAsia="楷体_GB2312" w:cs="楷体_GB2312"/>
                <w:b/>
                <w:bCs/>
                <w:sz w:val="32"/>
                <w:szCs w:val="32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的执行</w:t>
            </w:r>
          </w:p>
          <w:p w14:paraId="67F1AFB6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情</w:t>
            </w:r>
            <w:r>
              <w:rPr>
                <w:rStyle w:val="22"/>
                <w:rFonts w:hint="eastAsia" w:ascii="Times New Roman" w:hAnsi="Times New Roman" w:eastAsia="楷体_GB2312" w:cs="楷体_GB2312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况</w:t>
            </w:r>
          </w:p>
        </w:tc>
        <w:tc>
          <w:tcPr>
            <w:tcW w:w="7920" w:type="dxa"/>
            <w:gridSpan w:val="4"/>
            <w:tcBorders>
              <w:top w:val="single" w:color="auto" w:sz="4" w:space="0"/>
              <w:left w:val="nil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 w14:paraId="2DD866B9">
            <w:pPr>
              <w:ind w:left="0" w:firstLine="640" w:firstLineChars="200"/>
              <w:jc w:val="left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楷体_GB2312" w:hAnsi="Times New Roman" w:eastAsia="楷体_GB2312" w:cs="楷体_GB2312"/>
                <w:kern w:val="2"/>
                <w:sz w:val="32"/>
                <w:szCs w:val="32"/>
              </w:rPr>
              <w:t>严格按照《条例》和实施细则等有关规定执行，</w:t>
            </w:r>
            <w:r>
              <w:rPr>
                <w:rFonts w:hint="default" w:ascii="Times New Roman" w:hAnsi="Times New Roman" w:eastAsia="楷体_GB2312" w:cs="Times New Roman"/>
                <w:kern w:val="2"/>
                <w:sz w:val="32"/>
                <w:szCs w:val="32"/>
              </w:rPr>
              <w:t>2021</w:t>
            </w:r>
            <w:r>
              <w:rPr>
                <w:rFonts w:hint="eastAsia" w:ascii="楷体_GB2312" w:hAnsi="Times New Roman" w:eastAsia="楷体_GB2312" w:cs="楷体_GB2312"/>
                <w:kern w:val="2"/>
                <w:sz w:val="32"/>
                <w:szCs w:val="32"/>
              </w:rPr>
              <w:t>年设立登记。</w:t>
            </w:r>
          </w:p>
        </w:tc>
      </w:tr>
      <w:tr w14:paraId="52E8231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0" w:hRule="atLeast"/>
          <w:jc w:val="center"/>
        </w:trPr>
        <w:tc>
          <w:tcPr>
            <w:tcW w:w="170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shd w:val="clear" w:color="auto" w:fill="auto"/>
            <w:vAlign w:val="center"/>
          </w:tcPr>
          <w:p w14:paraId="03E14E5D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开</w:t>
            </w:r>
          </w:p>
          <w:p w14:paraId="3B115E8B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展</w:t>
            </w:r>
          </w:p>
          <w:p w14:paraId="0FC5E8C8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业</w:t>
            </w:r>
          </w:p>
          <w:p w14:paraId="1739DF01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务</w:t>
            </w:r>
          </w:p>
          <w:p w14:paraId="5DC4A9EF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活</w:t>
            </w:r>
          </w:p>
          <w:p w14:paraId="0936442B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动</w:t>
            </w:r>
          </w:p>
          <w:p w14:paraId="5A0C9B52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情</w:t>
            </w:r>
          </w:p>
          <w:p w14:paraId="20AD9589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况</w:t>
            </w:r>
          </w:p>
        </w:tc>
        <w:tc>
          <w:tcPr>
            <w:tcW w:w="7920" w:type="dxa"/>
            <w:gridSpan w:val="4"/>
            <w:tcBorders>
              <w:top w:val="single" w:color="auto" w:sz="12" w:space="0"/>
              <w:left w:val="nil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 w14:paraId="2BE692A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napToGrid w:val="0"/>
              <w:spacing w:line="240" w:lineRule="exact"/>
              <w:ind w:left="0" w:firstLine="402" w:firstLineChars="200"/>
              <w:jc w:val="left"/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20"/>
                <w:szCs w:val="20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kern w:val="2"/>
                <w:sz w:val="20"/>
                <w:szCs w:val="20"/>
              </w:rPr>
              <w:t>1</w:t>
            </w: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20"/>
                <w:szCs w:val="20"/>
              </w:rPr>
              <w:t>）党委高度重视，高位推动部署。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今年以来，师市党委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3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次听取信访工作汇报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,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分析信访形势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,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安排部署重点工作任务，为当前和今后一个时期的信访工作指明了方向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,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提供了基本遵循。师市党政主要负责同志认真弘扬践行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“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浦江经验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”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，主要负责同志接访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4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次。师市信联办根据师市党委工作安排，制定《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2024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年师市党政领导包案化解信访事项工作方案》，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13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 xml:space="preserve">名师市领导包案化解 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24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件疑难信访事项，形成了良好示范作用。党政主要负责同志累计对信访工作作出批示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53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次，分管领导累计召开信访工作联席会议、专题工作会议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7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次，督促重点工作落实。</w:t>
            </w:r>
          </w:p>
          <w:p w14:paraId="668F08D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napToGrid w:val="0"/>
              <w:spacing w:line="240" w:lineRule="exact"/>
              <w:ind w:left="0" w:firstLine="402" w:firstLineChars="200"/>
              <w:jc w:val="left"/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20"/>
                <w:szCs w:val="20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kern w:val="2"/>
                <w:sz w:val="20"/>
                <w:szCs w:val="20"/>
              </w:rPr>
              <w:t>2</w:t>
            </w: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20"/>
                <w:szCs w:val="20"/>
              </w:rPr>
              <w:t>）热情细致接待，回应群众关切。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师市信访局认真贯彻落实全面推进信访工作法治化的任务要求，牢固树立人民信访为人民的理念，进一步细化信访事项受理、办理流程和业务标准，坚持来访必接、来件必登，借助兵团信访信息系统，落实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“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应录尽录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”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要求，并按照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“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三个不予受理、两个不再受理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”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要求受理职工给群众反映事项。全年累计受理职工群众来访反映问题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380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余件次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(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其中部门领导接访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147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件次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)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，信访部门及时受理率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100%</w:t>
            </w:r>
            <w:bookmarkStart w:id="0" w:name="_GoBack"/>
            <w:bookmarkEnd w:id="0"/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。</w:t>
            </w:r>
          </w:p>
          <w:p w14:paraId="3CB532D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napToGrid w:val="0"/>
              <w:spacing w:line="240" w:lineRule="exact"/>
              <w:ind w:left="0" w:firstLine="402" w:firstLineChars="200"/>
              <w:jc w:val="left"/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20"/>
                <w:szCs w:val="20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kern w:val="2"/>
                <w:sz w:val="20"/>
                <w:szCs w:val="20"/>
              </w:rPr>
              <w:t>3</w:t>
            </w: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20"/>
                <w:szCs w:val="20"/>
              </w:rPr>
              <w:t>）注重宣传引导，夯实法治基础。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加大对《信访工作条例》、信访工作法治化内容宣传力度，通过开展形式多样的宣传活动，让职工群众全面了解信访事项受理、办理程序，做到依法信访。组织各团场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(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街道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)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、师市各单位开展《条例》及信访工作法治化宣讲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53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场次、悬挂宣传标语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100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余条、张贴海报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400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余张、印发《条例》及信访工作法治化宣传页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3500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余份。同时，积极协调师市有关部门，在师市电视台、微信公众号及市域公共大屏播放兵团信访工作法治化系列普法视频，并将《条例》及信访工作法治化纳入师市党委党校、法治学校教学培训计划，通过一系列举措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,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增强了职工群众依法信访的意识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,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营造了办事依法、遇事找法、解决问题用法、化解矛盾靠法的法治氛围。</w:t>
            </w:r>
          </w:p>
          <w:p w14:paraId="194F2B2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napToGrid w:val="0"/>
              <w:spacing w:line="240" w:lineRule="exact"/>
              <w:ind w:left="0" w:firstLine="402" w:firstLineChars="200"/>
              <w:jc w:val="left"/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20"/>
                <w:szCs w:val="20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kern w:val="2"/>
                <w:sz w:val="20"/>
                <w:szCs w:val="20"/>
              </w:rPr>
              <w:t>4</w:t>
            </w: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20"/>
                <w:szCs w:val="20"/>
              </w:rPr>
              <w:t>）坚持源头治理，规范信访程序。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坚持把源头治理、源头防范作为工作重点，坚持和发展新时代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“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枫桥经验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”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，推动关口前移、重心下移、力量下沉，着力将矛盾化解在基层、化解在萌芽状态。今年以来，师市信访局先后组织各团场、经开区、街道展开矛盾纠纷排查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7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次，累计摸排各类矛盾纠纷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353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条，通过及时处置，基本做到了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“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小事不出连、大事不出团、矛盾不上交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”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。针对受理办理不规范现象，师市信访局派出干部赴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224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团、经开区、师市发改委、教育局等问题较为突出的单位进行实地督导，纠正错误认知、指出具体问题、给出解决办法，通过上述措施，信访事项受理办理更加规范，办理质效得到了明显提升。</w:t>
            </w:r>
          </w:p>
          <w:p w14:paraId="5EE465D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napToGrid w:val="0"/>
              <w:spacing w:line="240" w:lineRule="exact"/>
              <w:ind w:left="0" w:firstLine="402" w:firstLineChars="200"/>
              <w:jc w:val="left"/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20"/>
                <w:szCs w:val="20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kern w:val="2"/>
                <w:sz w:val="20"/>
                <w:szCs w:val="20"/>
              </w:rPr>
              <w:t>5</w:t>
            </w: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20"/>
                <w:szCs w:val="20"/>
              </w:rPr>
              <w:t>）抓好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kern w:val="2"/>
                <w:sz w:val="20"/>
                <w:szCs w:val="20"/>
              </w:rPr>
              <w:t>“</w:t>
            </w: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20"/>
                <w:szCs w:val="20"/>
              </w:rPr>
              <w:t>百日攻坚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kern w:val="2"/>
                <w:sz w:val="20"/>
                <w:szCs w:val="20"/>
              </w:rPr>
              <w:t>”</w:t>
            </w: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20"/>
                <w:szCs w:val="20"/>
              </w:rPr>
              <w:t>，全力化解积案。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为配合兵团开展好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“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百日攻坚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”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专项工作，师市信访局在兵团推送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22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件信访事项的基础上，自行梳理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141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件未化解信访事项，制定印发《第十四师昆玉市信访事项化解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“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百日攻坚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”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专项工作实施方案》，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10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位师市领导就分管行业及包联团场涉及的信访事项进行包案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.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师市信联办聚焦目标任务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,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强化跟踪督办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,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对问题化解情况每周进行通报。对问题化解实行台账式管理，严把审核质量关，做到问题不解决不销号、群众不满意不销号。截至目前，兵团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“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百日攻坚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”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专项工作交办的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22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件信访事项，已全部审核化解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;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师市自行梳理的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141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件信访事项，已审核化解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135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件。</w:t>
            </w:r>
          </w:p>
          <w:p w14:paraId="779D2C5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napToGrid w:val="0"/>
              <w:spacing w:line="240" w:lineRule="exact"/>
              <w:ind w:left="0" w:firstLine="402" w:firstLineChars="200"/>
              <w:jc w:val="left"/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20"/>
                <w:szCs w:val="20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kern w:val="2"/>
                <w:sz w:val="20"/>
                <w:szCs w:val="20"/>
              </w:rPr>
              <w:t>6</w:t>
            </w: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20"/>
                <w:szCs w:val="20"/>
              </w:rPr>
              <w:t>）健全完善制度，提升工作质效。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为全面推行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“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接诉即办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”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工作模式，师市信访局以信访服务中心为主阵地，在专职人民调解员进驻的基础上，积极协调法院、检察院，落实法官、检察官参与接访工作模式，先后制定《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“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中心吹哨、部门报到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”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工作机制实施方案》《关于深入推进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“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三调联动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”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工作的实施方案》，做到了快速响应、及时处置、联调联动，信访事项一次性化解率明显提升，信访事项办理时间明显缩短。通过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“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人民调解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+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司法确认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”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，将调解结果法定化，驻信访服务中心调解员积极组织信访人及相关涉事人进行调解，截至目前，成功调解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176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 xml:space="preserve">起，涉及人数 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358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人、金额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700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余万元。健全完善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“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日推送、周通报、月反馈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”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工作制度，今年以来，累计向有关行业部门推送涉访信息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406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条、编发信访周通报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45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次、月反馈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12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次，做到了信息互通、信息共享。同时，对信访问题化解情况定期开展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“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回头看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”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工作，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3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次梳理未化解及程序性办结事项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214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件，并坚持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“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双交办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”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，截至目前，已推动解决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143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件。</w:t>
            </w:r>
          </w:p>
          <w:p w14:paraId="57984C4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napToGrid w:val="0"/>
              <w:spacing w:line="240" w:lineRule="exact"/>
              <w:ind w:left="0" w:firstLine="402" w:firstLineChars="200"/>
              <w:jc w:val="left"/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20"/>
                <w:szCs w:val="20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kern w:val="2"/>
                <w:sz w:val="20"/>
                <w:szCs w:val="20"/>
              </w:rPr>
              <w:t>7</w:t>
            </w: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20"/>
                <w:szCs w:val="20"/>
              </w:rPr>
              <w:t>）紧盯敏感节点，守住工作底线。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根据工作要求，选派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2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名信访干部和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5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名公安干警，在兵团信访局的统一领导下，圆满完成自治区两会、全国两会、党的二十届三中全会、新中国成立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75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周年及兵团成立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70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周年系列庆祝活动等敏感节点期间信访安全保障工作。自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11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月中旬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“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深化源头治理、化解信访矛盾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”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专项工作开展以来，师市各单位各部门全方位开展信访领域矛盾纠纷隐患排查化解工作，紧盯重点事项和重点信访人员，师市辖区未发生进京访问题，实现了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“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三个不发生</w:t>
            </w:r>
            <w:r>
              <w:rPr>
                <w:rFonts w:hint="default" w:ascii="Times New Roman" w:hAnsi="Times New Roman" w:eastAsia="仿宋_GB2312" w:cs="Times New Roman"/>
                <w:kern w:val="2"/>
                <w:sz w:val="20"/>
                <w:szCs w:val="20"/>
              </w:rPr>
              <w:t>”</w:t>
            </w:r>
            <w:r>
              <w:rPr>
                <w:rFonts w:hint="eastAsia" w:ascii="仿宋_GB2312" w:hAnsi="Times New Roman" w:eastAsia="仿宋_GB2312" w:cs="仿宋_GB2312"/>
                <w:kern w:val="2"/>
                <w:sz w:val="20"/>
                <w:szCs w:val="20"/>
              </w:rPr>
              <w:t>工作目标。</w:t>
            </w:r>
          </w:p>
          <w:p w14:paraId="413F7DED">
            <w:pPr>
              <w:jc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</w:p>
        </w:tc>
      </w:tr>
      <w:tr w14:paraId="029B6D4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3" w:hRule="atLeast"/>
          <w:jc w:val="center"/>
        </w:trPr>
        <w:tc>
          <w:tcPr>
            <w:tcW w:w="170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36C31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相关资质</w:t>
            </w:r>
          </w:p>
          <w:p w14:paraId="4CF0D781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认可或执</w:t>
            </w:r>
          </w:p>
          <w:p w14:paraId="10D6C9D8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业许可证</w:t>
            </w:r>
          </w:p>
          <w:p w14:paraId="36A1212A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明文件及</w:t>
            </w:r>
          </w:p>
          <w:p w14:paraId="575DEBFB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有效期</w:t>
            </w:r>
          </w:p>
        </w:tc>
        <w:tc>
          <w:tcPr>
            <w:tcW w:w="792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2FAF48E5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 w:val="0"/>
                <w:bCs w:val="0"/>
                <w:kern w:val="2"/>
                <w:sz w:val="32"/>
                <w:szCs w:val="32"/>
              </w:rPr>
              <w:t>无</w:t>
            </w:r>
          </w:p>
        </w:tc>
      </w:tr>
      <w:tr w14:paraId="00A17CE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9" w:hRule="atLeast"/>
          <w:jc w:val="center"/>
        </w:trPr>
        <w:tc>
          <w:tcPr>
            <w:tcW w:w="170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6FAE7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绩</w:t>
            </w:r>
            <w:r>
              <w:rPr>
                <w:rStyle w:val="22"/>
                <w:rFonts w:hint="eastAsia" w:ascii="Times New Roman" w:hAnsi="Times New Roman" w:eastAsia="楷体_GB2312" w:cs="楷体_GB2312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效</w:t>
            </w:r>
            <w:r>
              <w:rPr>
                <w:rStyle w:val="22"/>
                <w:rFonts w:hint="eastAsia" w:ascii="Times New Roman" w:hAnsi="Times New Roman" w:eastAsia="楷体_GB2312" w:cs="楷体_GB2312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和</w:t>
            </w:r>
          </w:p>
          <w:p w14:paraId="1EB30DCC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受奖惩及</w:t>
            </w:r>
          </w:p>
          <w:p w14:paraId="51947082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诉讼投诉</w:t>
            </w:r>
          </w:p>
          <w:p w14:paraId="050A1442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情</w:t>
            </w:r>
            <w:r>
              <w:rPr>
                <w:rStyle w:val="22"/>
                <w:rFonts w:hint="eastAsia" w:ascii="Times New Roman" w:hAnsi="Times New Roman" w:eastAsia="楷体_GB2312" w:cs="楷体_GB2312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况</w:t>
            </w:r>
          </w:p>
        </w:tc>
        <w:tc>
          <w:tcPr>
            <w:tcW w:w="792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1B7633A4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</w:rPr>
            </w:pPr>
            <w:r>
              <w:rPr>
                <w:rStyle w:val="22"/>
                <w:rFonts w:hint="default" w:ascii="Times New Roman" w:hAnsi="Times New Roman" w:eastAsia="楷体_GB2312" w:cs="Times New Roman"/>
                <w:b w:val="0"/>
                <w:bCs w:val="0"/>
                <w:kern w:val="2"/>
                <w:sz w:val="32"/>
                <w:szCs w:val="32"/>
              </w:rPr>
              <w:t>2024</w:t>
            </w:r>
            <w:r>
              <w:rPr>
                <w:rStyle w:val="22"/>
                <w:rFonts w:hint="eastAsia" w:ascii="楷体_GB2312" w:hAnsi="Times New Roman" w:eastAsia="楷体_GB2312" w:cs="楷体_GB2312"/>
                <w:b w:val="0"/>
                <w:bCs w:val="0"/>
                <w:kern w:val="2"/>
                <w:sz w:val="32"/>
                <w:szCs w:val="32"/>
              </w:rPr>
              <w:t>年无诉讼投诉情况。</w:t>
            </w:r>
          </w:p>
        </w:tc>
      </w:tr>
      <w:tr w14:paraId="1D0B68E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3" w:hRule="atLeast"/>
          <w:jc w:val="center"/>
        </w:trPr>
        <w:tc>
          <w:tcPr>
            <w:tcW w:w="170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BF55B5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接受捐赠</w:t>
            </w:r>
          </w:p>
          <w:p w14:paraId="27152F14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资助及其</w:t>
            </w:r>
          </w:p>
          <w:p w14:paraId="5272F02E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使用情况</w:t>
            </w:r>
          </w:p>
        </w:tc>
        <w:tc>
          <w:tcPr>
            <w:tcW w:w="792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2F4544FB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 w:val="0"/>
                <w:bCs w:val="0"/>
                <w:kern w:val="2"/>
                <w:sz w:val="32"/>
                <w:szCs w:val="32"/>
              </w:rPr>
              <w:t>无</w:t>
            </w:r>
          </w:p>
        </w:tc>
      </w:tr>
      <w:tr w14:paraId="2A7DAE1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1700" w:type="dxa"/>
            <w:vMerge w:val="restart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9C30B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事业单位</w:t>
            </w:r>
          </w:p>
          <w:p w14:paraId="3023CAE7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委托意见</w:t>
            </w:r>
          </w:p>
        </w:tc>
        <w:tc>
          <w:tcPr>
            <w:tcW w:w="7920" w:type="dxa"/>
            <w:gridSpan w:val="4"/>
            <w:tcBorders>
              <w:top w:val="single" w:color="auto" w:sz="4" w:space="0"/>
              <w:left w:val="nil"/>
              <w:bottom w:val="nil"/>
              <w:right w:val="single" w:color="auto" w:sz="12" w:space="0"/>
            </w:tcBorders>
            <w:shd w:val="clear" w:color="auto" w:fill="auto"/>
            <w:vAlign w:val="top"/>
          </w:tcPr>
          <w:p w14:paraId="0AFD6608">
            <w:pP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兹委托登记管理机关公示我单位年度报告书。</w:t>
            </w:r>
          </w:p>
        </w:tc>
      </w:tr>
      <w:tr w14:paraId="74DA012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1700" w:type="dxa"/>
            <w:vMerge w:val="continue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96E63A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E8B840">
            <w:pP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28"/>
                <w:szCs w:val="28"/>
              </w:rPr>
              <w:t>法定代表人：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D8AFCF4">
            <w:pP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single" w:color="auto" w:sz="12" w:space="0"/>
            </w:tcBorders>
            <w:shd w:val="clear" w:color="auto" w:fill="auto"/>
            <w:vAlign w:val="bottom"/>
          </w:tcPr>
          <w:p w14:paraId="7D227952">
            <w:pP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公章：</w:t>
            </w:r>
          </w:p>
        </w:tc>
      </w:tr>
      <w:tr w14:paraId="361AE8E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700" w:type="dxa"/>
            <w:vMerge w:val="continue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3C6331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 w14:paraId="77650BAC">
            <w:pP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 w14:paraId="3DD74351">
            <w:pP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bottom"/>
          </w:tcPr>
          <w:p w14:paraId="0F8B8333">
            <w:pPr>
              <w:jc w:val="right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</w:rPr>
              <w:t xml:space="preserve">      </w:t>
            </w:r>
            <w:r>
              <w:rPr>
                <w:rStyle w:val="22"/>
                <w:rFonts w:hint="default" w:ascii="Times New Roman" w:hAnsi="Times New Roman" w:eastAsia="楷体_GB2312" w:cs="Times New Roman"/>
                <w:b w:val="0"/>
                <w:bCs w:val="0"/>
                <w:sz w:val="32"/>
                <w:szCs w:val="32"/>
              </w:rPr>
              <w:t>2025</w:t>
            </w: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年</w:t>
            </w:r>
            <w:r>
              <w:rPr>
                <w:rStyle w:val="22"/>
                <w:rFonts w:hint="default" w:ascii="Times New Roman" w:hAnsi="Times New Roman" w:eastAsia="楷体_GB2312" w:cs="Times New Roman"/>
                <w:b w:val="0"/>
                <w:bCs w:val="0"/>
                <w:sz w:val="32"/>
                <w:szCs w:val="32"/>
              </w:rPr>
              <w:t xml:space="preserve"> 2 </w:t>
            </w: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月</w:t>
            </w:r>
            <w:r>
              <w:rPr>
                <w:rStyle w:val="22"/>
                <w:rFonts w:hint="default" w:ascii="Times New Roman" w:hAnsi="Times New Roman" w:eastAsia="楷体_GB2312" w:cs="Times New Roman"/>
                <w:b w:val="0"/>
                <w:bCs w:val="0"/>
                <w:sz w:val="32"/>
                <w:szCs w:val="32"/>
              </w:rPr>
              <w:t xml:space="preserve"> 7 </w:t>
            </w: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日</w:t>
            </w:r>
            <w:r>
              <w:rPr>
                <w:rStyle w:val="22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</w:rPr>
              <w:t xml:space="preserve">  </w:t>
            </w:r>
          </w:p>
        </w:tc>
      </w:tr>
      <w:tr w14:paraId="44A1FD0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0" w:hRule="atLeast"/>
          <w:jc w:val="center"/>
        </w:trPr>
        <w:tc>
          <w:tcPr>
            <w:tcW w:w="1700" w:type="dxa"/>
            <w:vMerge w:val="restart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B34DD9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28"/>
                <w:szCs w:val="28"/>
              </w:rPr>
              <w:t>举办单位</w:t>
            </w:r>
          </w:p>
          <w:p w14:paraId="57892099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28"/>
                <w:szCs w:val="28"/>
              </w:rPr>
              <w:t>意见（含</w:t>
            </w:r>
          </w:p>
          <w:p w14:paraId="79411483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28"/>
                <w:szCs w:val="28"/>
              </w:rPr>
              <w:t>保密审查</w:t>
            </w:r>
          </w:p>
          <w:p w14:paraId="25B0E1F5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28"/>
                <w:szCs w:val="28"/>
              </w:rPr>
              <w:t>意</w:t>
            </w:r>
            <w:r>
              <w:rPr>
                <w:rStyle w:val="23"/>
                <w:rFonts w:hint="eastAsia" w:ascii="Times New Roman" w:hAnsi="Times New Roman" w:eastAsia="楷体_GB2312" w:cs="楷体_GB2312"/>
                <w:b/>
                <w:bCs/>
                <w:sz w:val="28"/>
                <w:szCs w:val="28"/>
              </w:rPr>
              <w:t xml:space="preserve"> </w:t>
            </w: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28"/>
                <w:szCs w:val="28"/>
              </w:rPr>
              <w:t>见）</w:t>
            </w:r>
          </w:p>
        </w:tc>
        <w:tc>
          <w:tcPr>
            <w:tcW w:w="7920" w:type="dxa"/>
            <w:gridSpan w:val="4"/>
            <w:tcBorders>
              <w:top w:val="single" w:color="auto" w:sz="4" w:space="0"/>
              <w:left w:val="nil"/>
              <w:bottom w:val="nil"/>
              <w:right w:val="single" w:color="auto" w:sz="12" w:space="0"/>
            </w:tcBorders>
            <w:shd w:val="clear" w:color="auto" w:fill="auto"/>
            <w:vAlign w:val="top"/>
          </w:tcPr>
          <w:p w14:paraId="535A23B6">
            <w:pPr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</w:p>
        </w:tc>
      </w:tr>
      <w:tr w14:paraId="4EE3F73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700" w:type="dxa"/>
            <w:vMerge w:val="continue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FD518F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CACBAE">
            <w:pPr>
              <w:rPr>
                <w:rFonts w:hint="eastAsia" w:ascii="宋体" w:hAnsi="Times New Roman" w:eastAsia="宋体" w:cs="Times New Roman"/>
                <w:kern w:val="2"/>
                <w:sz w:val="24"/>
                <w:szCs w:val="24"/>
              </w:rPr>
            </w:pPr>
          </w:p>
        </w:tc>
        <w:tc>
          <w:tcPr>
            <w:tcW w:w="14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4768A2D">
            <w:pP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single" w:color="auto" w:sz="12" w:space="0"/>
            </w:tcBorders>
            <w:shd w:val="clear" w:color="auto" w:fill="auto"/>
            <w:vAlign w:val="bottom"/>
          </w:tcPr>
          <w:p w14:paraId="43346883">
            <w:pP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公章：</w:t>
            </w:r>
          </w:p>
        </w:tc>
      </w:tr>
      <w:tr w14:paraId="2E14C70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700" w:type="dxa"/>
            <w:vMerge w:val="continue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E5AC6A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 w14:paraId="186C0487">
            <w:pP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 w14:paraId="2793BF3F">
            <w:pP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shd w:val="clear" w:color="auto" w:fill="auto"/>
            <w:vAlign w:val="bottom"/>
          </w:tcPr>
          <w:p w14:paraId="39A98D97">
            <w:pPr>
              <w:jc w:val="right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Style w:val="22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</w:rPr>
              <w:t xml:space="preserve">      </w:t>
            </w:r>
            <w:r>
              <w:rPr>
                <w:rStyle w:val="22"/>
                <w:rFonts w:hint="default" w:ascii="Times New Roman" w:hAnsi="Times New Roman" w:eastAsia="楷体_GB2312" w:cs="Times New Roman"/>
                <w:b w:val="0"/>
                <w:bCs w:val="0"/>
                <w:sz w:val="32"/>
                <w:szCs w:val="32"/>
              </w:rPr>
              <w:t>2025</w:t>
            </w: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年</w:t>
            </w:r>
            <w:r>
              <w:rPr>
                <w:rStyle w:val="22"/>
                <w:rFonts w:hint="eastAsia" w:ascii="Times New Roman" w:hAnsi="Times New Roman" w:eastAsia="楷体_GB2312" w:cs="楷体_GB2312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22"/>
                <w:rFonts w:hint="default" w:ascii="Times New Roman" w:hAnsi="Times New Roman" w:eastAsia="楷体_GB2312" w:cs="Times New Roman"/>
                <w:b w:val="0"/>
                <w:bCs w:val="0"/>
                <w:sz w:val="32"/>
                <w:szCs w:val="32"/>
              </w:rPr>
              <w:t>2</w:t>
            </w:r>
            <w:r>
              <w:rPr>
                <w:rStyle w:val="22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月</w:t>
            </w:r>
            <w:r>
              <w:rPr>
                <w:rStyle w:val="22"/>
                <w:rFonts w:hint="eastAsia" w:ascii="Times New Roman" w:hAnsi="Times New Roman" w:eastAsia="楷体_GB2312" w:cs="楷体_GB2312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22"/>
                <w:rFonts w:hint="default" w:ascii="Times New Roman" w:hAnsi="Times New Roman" w:eastAsia="楷体_GB2312" w:cs="Times New Roman"/>
                <w:b w:val="0"/>
                <w:bCs w:val="0"/>
                <w:sz w:val="32"/>
                <w:szCs w:val="32"/>
              </w:rPr>
              <w:t>7</w:t>
            </w:r>
            <w:r>
              <w:rPr>
                <w:rStyle w:val="22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22"/>
                <w:rFonts w:hint="eastAsia" w:ascii="楷体_GB2312" w:hAnsi="Times New Roman" w:eastAsia="楷体_GB2312" w:cs="楷体_GB2312"/>
                <w:b/>
                <w:bCs/>
                <w:sz w:val="32"/>
                <w:szCs w:val="32"/>
              </w:rPr>
              <w:t>日</w:t>
            </w:r>
            <w:r>
              <w:rPr>
                <w:rStyle w:val="22"/>
                <w:rFonts w:hint="eastAsia" w:ascii="Times New Roman" w:hAnsi="Times New Roman" w:eastAsia="楷体_GB2312" w:cs="楷体_GB2312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22"/>
                <w:rFonts w:hint="default" w:ascii="Times New Roman" w:hAnsi="Times New Roman" w:eastAsia="楷体_GB2312" w:cs="Times New Roman"/>
                <w:b/>
                <w:bCs/>
                <w:sz w:val="32"/>
                <w:szCs w:val="32"/>
              </w:rPr>
              <w:t xml:space="preserve">  </w:t>
            </w:r>
          </w:p>
        </w:tc>
      </w:tr>
      <w:tr w14:paraId="1C1256B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0" w:type="auto"/>
            <w:gridSpan w:val="5"/>
            <w:tcBorders>
              <w:top w:val="single" w:color="auto" w:sz="12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52A043">
            <w:pPr>
              <w:jc w:val="left"/>
              <w:rPr>
                <w:rFonts w:hint="default" w:ascii="Times New Roman" w:hAnsi="Times New Roman" w:eastAsia="楷体_GB2312" w:cs="Times New Roman"/>
                <w:kern w:val="2"/>
                <w:sz w:val="21"/>
                <w:szCs w:val="21"/>
              </w:rPr>
            </w:pP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28"/>
                <w:szCs w:val="28"/>
              </w:rPr>
              <w:t>填表人：</w:t>
            </w:r>
            <w:r>
              <w:rPr>
                <w:rStyle w:val="23"/>
                <w:rFonts w:hint="eastAsia" w:ascii="楷体_GB2312" w:hAnsi="Times New Roman" w:eastAsia="楷体_GB2312" w:cs="楷体_GB2312"/>
                <w:b w:val="0"/>
                <w:bCs w:val="0"/>
                <w:sz w:val="28"/>
                <w:szCs w:val="28"/>
              </w:rPr>
              <w:t>徐天昊</w:t>
            </w:r>
            <w:r>
              <w:rPr>
                <w:rStyle w:val="23"/>
                <w:rFonts w:hint="default" w:ascii="Times New Roman" w:hAnsi="Times New Roman" w:eastAsia="楷体_GB2312" w:cs="Times New Roman"/>
                <w:b/>
                <w:bCs/>
                <w:sz w:val="28"/>
                <w:szCs w:val="28"/>
              </w:rPr>
              <w:t>         </w:t>
            </w: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28"/>
                <w:szCs w:val="28"/>
              </w:rPr>
              <w:t>联系电话：</w:t>
            </w:r>
            <w:r>
              <w:rPr>
                <w:rStyle w:val="23"/>
                <w:rFonts w:hint="default" w:ascii="Times New Roman" w:hAnsi="Times New Roman" w:eastAsia="楷体_GB2312" w:cs="Times New Roman"/>
                <w:b w:val="0"/>
                <w:bCs w:val="0"/>
                <w:sz w:val="28"/>
                <w:szCs w:val="28"/>
              </w:rPr>
              <w:t>17881720408 </w:t>
            </w:r>
            <w:r>
              <w:rPr>
                <w:rStyle w:val="23"/>
                <w:rFonts w:hint="default" w:ascii="Times New Roman" w:hAnsi="Times New Roman" w:eastAsia="楷体_GB2312" w:cs="Times New Roman"/>
                <w:b/>
                <w:bCs/>
                <w:sz w:val="28"/>
                <w:szCs w:val="28"/>
              </w:rPr>
              <w:t>       </w:t>
            </w:r>
            <w:r>
              <w:rPr>
                <w:rStyle w:val="23"/>
                <w:rFonts w:hint="eastAsia" w:ascii="楷体_GB2312" w:hAnsi="Times New Roman" w:eastAsia="楷体_GB2312" w:cs="楷体_GB2312"/>
                <w:b/>
                <w:bCs/>
                <w:sz w:val="28"/>
                <w:szCs w:val="28"/>
              </w:rPr>
              <w:t>报送日期：</w:t>
            </w:r>
            <w:r>
              <w:rPr>
                <w:rStyle w:val="23"/>
                <w:rFonts w:hint="default" w:ascii="Times New Roman" w:hAnsi="Times New Roman" w:eastAsia="楷体_GB2312" w:cs="Times New Roman"/>
                <w:b w:val="0"/>
                <w:bCs w:val="0"/>
                <w:sz w:val="28"/>
                <w:szCs w:val="28"/>
              </w:rPr>
              <w:t>2025</w:t>
            </w:r>
            <w:r>
              <w:rPr>
                <w:rStyle w:val="23"/>
                <w:rFonts w:hint="eastAsia" w:ascii="楷体_GB2312" w:hAnsi="Times New Roman" w:eastAsia="楷体_GB2312" w:cs="楷体_GB2312"/>
                <w:b w:val="0"/>
                <w:bCs w:val="0"/>
                <w:sz w:val="28"/>
                <w:szCs w:val="28"/>
              </w:rPr>
              <w:t>年</w:t>
            </w:r>
            <w:r>
              <w:rPr>
                <w:rStyle w:val="23"/>
                <w:rFonts w:hint="default" w:ascii="Times New Roman" w:hAnsi="Times New Roman" w:eastAsia="楷体_GB2312" w:cs="Times New Roman"/>
                <w:b w:val="0"/>
                <w:bCs w:val="0"/>
                <w:sz w:val="28"/>
                <w:szCs w:val="28"/>
              </w:rPr>
              <w:t>2</w:t>
            </w:r>
            <w:r>
              <w:rPr>
                <w:rStyle w:val="23"/>
                <w:rFonts w:hint="eastAsia" w:ascii="楷体_GB2312" w:hAnsi="Times New Roman" w:eastAsia="楷体_GB2312" w:cs="楷体_GB2312"/>
                <w:b w:val="0"/>
                <w:bCs w:val="0"/>
                <w:sz w:val="28"/>
                <w:szCs w:val="28"/>
              </w:rPr>
              <w:t>月</w:t>
            </w:r>
            <w:r>
              <w:rPr>
                <w:rStyle w:val="23"/>
                <w:rFonts w:hint="default" w:ascii="Times New Roman" w:hAnsi="Times New Roman" w:eastAsia="楷体_GB2312" w:cs="Times New Roman"/>
                <w:b w:val="0"/>
                <w:bCs w:val="0"/>
                <w:sz w:val="28"/>
                <w:szCs w:val="28"/>
              </w:rPr>
              <w:t>7</w:t>
            </w:r>
            <w:r>
              <w:rPr>
                <w:rStyle w:val="23"/>
                <w:rFonts w:hint="eastAsia" w:ascii="楷体_GB2312" w:hAnsi="Times New Roman" w:eastAsia="楷体_GB2312" w:cs="楷体_GB2312"/>
                <w:b w:val="0"/>
                <w:bCs w:val="0"/>
                <w:sz w:val="28"/>
                <w:szCs w:val="28"/>
              </w:rPr>
              <w:t>日</w:t>
            </w:r>
          </w:p>
        </w:tc>
      </w:tr>
    </w:tbl>
    <w:p w14:paraId="38CCF003">
      <w:pPr>
        <w:jc w:val="left"/>
        <w:rPr>
          <w:rFonts w:hint="eastAsia" w:ascii="楷体_GB2312" w:hAnsi="Times New Roman" w:eastAsia="楷体_GB2312" w:cs="楷体_GB2312"/>
          <w:b/>
          <w:bCs/>
          <w:kern w:val="2"/>
          <w:sz w:val="18"/>
          <w:szCs w:val="18"/>
        </w:rPr>
      </w:pPr>
      <w:r>
        <w:rPr>
          <w:rFonts w:hint="default" w:ascii="Times New Roman" w:hAnsi="Times New Roman" w:eastAsia="楷体_GB2312" w:cs="Times New Roman"/>
          <w:b/>
          <w:bCs/>
          <w:kern w:val="2"/>
          <w:sz w:val="18"/>
          <w:szCs w:val="18"/>
        </w:rPr>
        <w:t xml:space="preserve"> </w:t>
      </w:r>
    </w:p>
    <w:sectPr>
      <w:pgSz w:w="11906" w:h="16838"/>
      <w:pgMar w:top="1440" w:right="1135" w:bottom="1440" w:left="1135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7"/>
  <w:displayHorizontalDrawingGridEvery w:val="0"/>
  <w:displayVerticalDrawingGridEvery w:val="2"/>
  <w:characterSpacingControl w:val="compressPunctuation"/>
  <w:footnotePr>
    <w:footnote w:id="0"/>
    <w:footnote w:id="1"/>
  </w:footnotePr>
  <w:compat>
    <w:balanceSingleByteDoubleByteWidth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6523B1"/>
    <w:rsid w:val="2857478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iPriority="99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99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unhideWhenUsed/>
    <w:uiPriority w:val="9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eastAsia="宋体" w:cs="Times New Roman"/>
      <w:kern w:val="2"/>
      <w:sz w:val="21"/>
      <w:szCs w:val="21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1">
    <w:name w:val="Default Paragraph Font"/>
    <w:semiHidden/>
    <w:unhideWhenUsed/>
    <w:uiPriority w:val="99"/>
  </w:style>
  <w:style w:type="table" w:default="1" w:styleId="10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HTML Preformatted"/>
    <w:basedOn w:val="1"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9">
    <w:name w:val="Normal (Web)"/>
    <w:basedOn w:val="1"/>
    <w:uiPriority w:val="0"/>
    <w:pPr>
      <w:widowControl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2">
    <w:name w:val="font1"/>
    <w:basedOn w:val="1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eastAsia" w:ascii="宋体" w:hAnsi="宋体" w:eastAsia="仿宋_GB2312" w:cs="宋体"/>
      <w:kern w:val="0"/>
      <w:sz w:val="30"/>
      <w:szCs w:val="30"/>
      <w:lang w:val="en-US" w:eastAsia="zh-CN" w:bidi="ar"/>
    </w:rPr>
  </w:style>
  <w:style w:type="character" w:customStyle="1" w:styleId="13">
    <w:name w:val="10"/>
    <w:basedOn w:val="11"/>
    <w:uiPriority w:val="0"/>
    <w:rPr>
      <w:rFonts w:hint="default" w:ascii="Times New Roman" w:hAnsi="Times New Roman" w:cs="Times New Roman"/>
    </w:rPr>
  </w:style>
  <w:style w:type="character" w:customStyle="1" w:styleId="14">
    <w:name w:val="15"/>
    <w:basedOn w:val="11"/>
    <w:uiPriority w:val="0"/>
    <w:rPr>
      <w:rFonts w:hint="default" w:ascii="Times New Roman" w:hAnsi="Times New Roman" w:eastAsia="仿宋_GB2312" w:cs="Times New Roman"/>
      <w:sz w:val="30"/>
      <w:szCs w:val="30"/>
    </w:rPr>
  </w:style>
  <w:style w:type="paragraph" w:customStyle="1" w:styleId="15">
    <w:name w:val="font7"/>
    <w:basedOn w:val="1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eastAsia" w:ascii="Times New Roman" w:hAnsi="宋体" w:eastAsia="楷体_GB2312" w:cs="楷体_GB2312"/>
      <w:kern w:val="0"/>
      <w:sz w:val="28"/>
      <w:szCs w:val="28"/>
      <w:lang w:val="en-US" w:eastAsia="zh-CN" w:bidi="ar"/>
    </w:rPr>
  </w:style>
  <w:style w:type="character" w:customStyle="1" w:styleId="16">
    <w:name w:val="16"/>
    <w:basedOn w:val="11"/>
    <w:uiPriority w:val="0"/>
    <w:rPr>
      <w:rFonts w:hint="eastAsia" w:ascii="Times New Roman" w:hAnsi="宋体" w:eastAsia="黑体" w:cs="黑体"/>
      <w:spacing w:val="40"/>
      <w:sz w:val="52"/>
      <w:szCs w:val="52"/>
    </w:rPr>
  </w:style>
  <w:style w:type="paragraph" w:customStyle="1" w:styleId="17">
    <w:name w:val="font3"/>
    <w:basedOn w:val="1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eastAsia" w:ascii="Times New Roman" w:hAnsi="宋体" w:eastAsia="黑体" w:cs="黑体"/>
      <w:spacing w:val="40"/>
      <w:kern w:val="0"/>
      <w:sz w:val="52"/>
      <w:szCs w:val="52"/>
      <w:lang w:val="en-US" w:eastAsia="zh-CN" w:bidi="ar"/>
    </w:rPr>
  </w:style>
  <w:style w:type="character" w:customStyle="1" w:styleId="18">
    <w:name w:val="17"/>
    <w:basedOn w:val="11"/>
    <w:uiPriority w:val="0"/>
    <w:rPr>
      <w:rFonts w:hint="eastAsia" w:ascii="Times New Roman" w:eastAsia="楷体_GB2312" w:cs="楷体_GB2312"/>
      <w:sz w:val="30"/>
      <w:szCs w:val="30"/>
    </w:rPr>
  </w:style>
  <w:style w:type="paragraph" w:customStyle="1" w:styleId="19">
    <w:name w:val="font5"/>
    <w:basedOn w:val="1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eastAsia" w:ascii="黑体" w:hAnsi="宋体" w:eastAsia="黑体" w:cs="黑体"/>
      <w:kern w:val="0"/>
      <w:sz w:val="36"/>
      <w:szCs w:val="36"/>
      <w:lang w:val="en-US" w:eastAsia="zh-CN" w:bidi="ar"/>
    </w:rPr>
  </w:style>
  <w:style w:type="character" w:customStyle="1" w:styleId="20">
    <w:name w:val="18"/>
    <w:basedOn w:val="11"/>
    <w:uiPriority w:val="0"/>
    <w:rPr>
      <w:rFonts w:hint="default" w:ascii="Times New Roman" w:hAnsi="Times New Roman" w:eastAsia="楷体_GB2312" w:cs="Times New Roman"/>
      <w:spacing w:val="30"/>
      <w:sz w:val="36"/>
      <w:szCs w:val="36"/>
    </w:rPr>
  </w:style>
  <w:style w:type="character" w:customStyle="1" w:styleId="21">
    <w:name w:val="19"/>
    <w:basedOn w:val="11"/>
    <w:uiPriority w:val="0"/>
    <w:rPr>
      <w:rFonts w:hint="eastAsia" w:ascii="黑体" w:hAnsi="宋体" w:eastAsia="黑体" w:cs="黑体"/>
      <w:sz w:val="36"/>
      <w:szCs w:val="36"/>
    </w:rPr>
  </w:style>
  <w:style w:type="character" w:customStyle="1" w:styleId="22">
    <w:name w:val="20"/>
    <w:basedOn w:val="11"/>
    <w:uiPriority w:val="0"/>
    <w:rPr>
      <w:rFonts w:hint="eastAsia" w:ascii="Times New Roman" w:eastAsia="楷体_GB2312" w:cs="楷体_GB2312"/>
      <w:sz w:val="32"/>
      <w:szCs w:val="32"/>
    </w:rPr>
  </w:style>
  <w:style w:type="character" w:customStyle="1" w:styleId="23">
    <w:name w:val="21"/>
    <w:basedOn w:val="11"/>
    <w:uiPriority w:val="0"/>
    <w:rPr>
      <w:rFonts w:hint="eastAsia" w:ascii="Times New Roman" w:eastAsia="楷体_GB2312" w:cs="楷体_GB2312"/>
      <w:sz w:val="28"/>
      <w:szCs w:val="28"/>
    </w:rPr>
  </w:style>
  <w:style w:type="paragraph" w:customStyle="1" w:styleId="24">
    <w:name w:val="普通(网站) Char"/>
    <w:basedOn w:val="1"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25">
    <w:name w:val="font4"/>
    <w:basedOn w:val="1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eastAsia" w:ascii="宋体" w:hAnsi="宋体" w:eastAsia="楷体_GB2312" w:cs="宋体"/>
      <w:spacing w:val="30"/>
      <w:kern w:val="0"/>
      <w:sz w:val="36"/>
      <w:szCs w:val="36"/>
      <w:lang w:val="en-US" w:eastAsia="zh-CN" w:bidi="ar"/>
    </w:rPr>
  </w:style>
  <w:style w:type="paragraph" w:customStyle="1" w:styleId="26">
    <w:name w:val="HTML 预设格式 Char"/>
    <w:basedOn w:val="1"/>
    <w:uiPriority w:val="0"/>
    <w:pPr>
      <w:keepNext w:val="0"/>
      <w:keepLines w:val="0"/>
      <w:widowControl/>
      <w:suppressLineNumber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27">
    <w:name w:val="font2"/>
    <w:basedOn w:val="1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eastAsia" w:ascii="Times New Roman" w:hAnsi="宋体" w:eastAsia="楷体_GB2312" w:cs="楷体_GB2312"/>
      <w:kern w:val="0"/>
      <w:sz w:val="30"/>
      <w:szCs w:val="30"/>
      <w:lang w:val="en-US" w:eastAsia="zh-CN" w:bidi="ar"/>
    </w:rPr>
  </w:style>
  <w:style w:type="paragraph" w:customStyle="1" w:styleId="28">
    <w:name w:val="font6"/>
    <w:basedOn w:val="1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eastAsia" w:ascii="Times New Roman" w:hAnsi="宋体" w:eastAsia="楷体_GB2312" w:cs="楷体_GB2312"/>
      <w:kern w:val="0"/>
      <w:sz w:val="32"/>
      <w:szCs w:val="32"/>
      <w:lang w:val="en-US" w:eastAsia="zh-CN" w:bidi="ar"/>
    </w:rPr>
  </w:style>
  <w:style w:type="paragraph" w:customStyle="1" w:styleId="29">
    <w:name w:val="font8"/>
    <w:basedOn w:val="1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eastAsia" w:ascii="Times New Roman" w:hAnsi="宋体" w:eastAsia="楷体_GB2312" w:cs="楷体_GB2312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2447</Words>
  <Characters>2567</Characters>
  <Lines>1</Lines>
  <Paragraphs>1</Paragraphs>
  <TotalTime>1</TotalTime>
  <ScaleCrop>false</ScaleCrop>
  <LinksUpToDate>false</LinksUpToDate>
  <CharactersWithSpaces>2656</CharactersWithSpaces>
  <Application>WPS Office_12.1.0.20305_F1E327BC-269C-435d-A152-05C5408002CA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2025-02-07T15:11:00Z</dcterms:created>
  <dc:creator>Administrator</dc:creator>
  <cp:lastModifiedBy>流年沉寂几度伤</cp:lastModifiedBy>
  <dcterms:modified xsi:type="dcterms:W3CDTF">2025-03-25T10:41:31Z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eyJoZGlkIjoiNGQ3YzFlNDQ5MjFmYzMyOGIwZGZmMjFmYWFjNDNhZDAiLCJ1c2VySWQiOiIzMDc4NTA1NjcifQ==</vt:lpwstr>
  </property>
  <property fmtid="{D5CDD505-2E9C-101B-9397-08002B2CF9AE}" pid="3" name="KSOProductBuildVer">
    <vt:lpwstr>2052-12.1.0.20305</vt:lpwstr>
  </property>
  <property fmtid="{D5CDD505-2E9C-101B-9397-08002B2CF9AE}" pid="4" name="ICV">
    <vt:lpwstr>7C1F41AE28B64BDEB893C5113A19D882_13</vt:lpwstr>
  </property>
</Properties>
</file>