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pPr w:leftFromText="180" w:rightFromText="180" w:vertAnchor="text" w:horzAnchor="page" w:tblpX="2138" w:tblpY="258"/>
        <w:tblOverlap w:val="never"/>
        <w:tblW w:w="11589" w:type="dxa"/>
        <w:tblInd w:w="0" w:type="dxa"/>
        <w:tblLayout w:type="fixed"/>
        <w:tblCellMar>
          <w:top w:w="15" w:type="dxa"/>
          <w:left w:w="15" w:type="dxa"/>
          <w:bottom w:w="15" w:type="dxa"/>
          <w:right w:w="15" w:type="dxa"/>
        </w:tblCellMar>
      </w:tblPr>
      <w:tblGrid>
        <w:gridCol w:w="583"/>
        <w:gridCol w:w="1532"/>
        <w:gridCol w:w="3618"/>
        <w:gridCol w:w="4347"/>
        <w:gridCol w:w="1509"/>
      </w:tblGrid>
      <w:tr w14:paraId="2E728FE2">
        <w:tblPrEx>
          <w:tblCellMar>
            <w:top w:w="15" w:type="dxa"/>
            <w:left w:w="15" w:type="dxa"/>
            <w:bottom w:w="15" w:type="dxa"/>
            <w:right w:w="15" w:type="dxa"/>
          </w:tblCellMar>
        </w:tblPrEx>
        <w:trPr>
          <w:trHeight w:val="1080" w:hRule="atLeast"/>
        </w:trPr>
        <w:tc>
          <w:tcPr>
            <w:tcW w:w="11589" w:type="dxa"/>
            <w:gridSpan w:val="5"/>
            <w:shd w:val="clear" w:color="auto" w:fill="auto"/>
            <w:vAlign w:val="center"/>
          </w:tcPr>
          <w:p w14:paraId="0FC2FB19">
            <w:pPr>
              <w:widowControl/>
              <w:spacing w:line="500" w:lineRule="exact"/>
              <w:jc w:val="center"/>
              <w:textAlignment w:val="center"/>
              <w:rPr>
                <w:rFonts w:ascii="黑体" w:hAnsi="宋体" w:eastAsia="黑体" w:cs="黑体"/>
                <w:color w:val="000000"/>
                <w:kern w:val="0"/>
                <w:sz w:val="40"/>
                <w:szCs w:val="40"/>
                <w:lang w:bidi="ar"/>
              </w:rPr>
            </w:pPr>
            <w:r>
              <w:rPr>
                <w:rFonts w:hint="eastAsia" w:ascii="方正小标宋简体" w:hAnsi="方正小标宋简体" w:eastAsia="方正小标宋简体" w:cs="方正小标宋简体"/>
                <w:color w:val="000000"/>
                <w:kern w:val="0"/>
                <w:sz w:val="44"/>
                <w:szCs w:val="44"/>
                <w:lang w:bidi="ar"/>
              </w:rPr>
              <w:t xml:space="preserve">  </w:t>
            </w:r>
            <w:bookmarkStart w:id="2" w:name="_GoBack"/>
            <w:bookmarkEnd w:id="2"/>
            <w:r>
              <w:rPr>
                <w:rFonts w:hint="eastAsia" w:ascii="方正小标宋简体" w:hAnsi="方正小标宋简体" w:eastAsia="方正小标宋简体" w:cs="方正小标宋简体"/>
                <w:color w:val="000000"/>
                <w:kern w:val="0"/>
                <w:sz w:val="44"/>
                <w:szCs w:val="44"/>
                <w:lang w:bidi="ar"/>
              </w:rPr>
              <w:t xml:space="preserve">   </w:t>
            </w:r>
            <w:r>
              <w:rPr>
                <w:rFonts w:hint="eastAsia" w:ascii="方正小标宋简体" w:hAnsi="方正小标宋简体" w:eastAsia="方正小标宋简体" w:cs="方正小标宋简体"/>
                <w:color w:val="000000"/>
                <w:kern w:val="0"/>
                <w:sz w:val="44"/>
                <w:szCs w:val="44"/>
                <w:lang w:eastAsia="zh-CN" w:bidi="ar"/>
              </w:rPr>
              <w:t>师市水利局</w:t>
            </w:r>
            <w:r>
              <w:rPr>
                <w:rFonts w:hint="eastAsia" w:ascii="方正小标宋简体" w:hAnsi="方正小标宋简体" w:eastAsia="方正小标宋简体" w:cs="方正小标宋简体"/>
                <w:color w:val="000000"/>
                <w:kern w:val="0"/>
                <w:sz w:val="44"/>
                <w:szCs w:val="44"/>
                <w:lang w:bidi="ar"/>
              </w:rPr>
              <w:t xml:space="preserve">涉企行政检查事项清单           </w:t>
            </w:r>
          </w:p>
        </w:tc>
      </w:tr>
      <w:tr w14:paraId="4BBA7111">
        <w:tblPrEx>
          <w:tblCellMar>
            <w:top w:w="15" w:type="dxa"/>
            <w:left w:w="15" w:type="dxa"/>
            <w:bottom w:w="15" w:type="dxa"/>
            <w:right w:w="15" w:type="dxa"/>
          </w:tblCellMar>
        </w:tblPrEx>
        <w:trPr>
          <w:trHeight w:val="428" w:hRule="atLeast"/>
        </w:trPr>
        <w:tc>
          <w:tcPr>
            <w:tcW w:w="583" w:type="dxa"/>
            <w:vMerge w:val="restart"/>
            <w:tcBorders>
              <w:top w:val="single" w:color="000000" w:sz="4" w:space="0"/>
              <w:left w:val="single" w:color="000000" w:sz="4" w:space="0"/>
              <w:right w:val="single" w:color="000000" w:sz="4" w:space="0"/>
            </w:tcBorders>
            <w:shd w:val="clear" w:color="auto" w:fill="auto"/>
            <w:vAlign w:val="center"/>
          </w:tcPr>
          <w:p w14:paraId="44048058">
            <w:pPr>
              <w:widowControl/>
              <w:spacing w:line="500" w:lineRule="exact"/>
              <w:jc w:val="center"/>
              <w:textAlignment w:val="center"/>
              <w:rPr>
                <w:rFonts w:ascii="黑体" w:hAnsi="宋体" w:eastAsia="黑体" w:cs="黑体"/>
                <w:b/>
                <w:bCs/>
                <w:color w:val="000000"/>
                <w:sz w:val="22"/>
              </w:rPr>
            </w:pPr>
            <w:r>
              <w:rPr>
                <w:rFonts w:hint="eastAsia" w:ascii="黑体" w:hAnsi="宋体" w:eastAsia="黑体" w:cs="黑体"/>
                <w:b/>
                <w:bCs/>
                <w:color w:val="000000"/>
                <w:kern w:val="0"/>
                <w:sz w:val="22"/>
                <w:lang w:bidi="ar"/>
              </w:rPr>
              <w:t>序号</w:t>
            </w:r>
          </w:p>
        </w:tc>
        <w:tc>
          <w:tcPr>
            <w:tcW w:w="5150" w:type="dxa"/>
            <w:gridSpan w:val="2"/>
            <w:tcBorders>
              <w:top w:val="single" w:color="000000" w:sz="4" w:space="0"/>
              <w:left w:val="single" w:color="000000" w:sz="4" w:space="0"/>
              <w:bottom w:val="single" w:color="auto" w:sz="4" w:space="0"/>
              <w:right w:val="single" w:color="000000" w:sz="4" w:space="0"/>
            </w:tcBorders>
            <w:shd w:val="clear" w:color="auto" w:fill="auto"/>
            <w:vAlign w:val="center"/>
          </w:tcPr>
          <w:p w14:paraId="0E1BA6B7">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检查事项</w:t>
            </w:r>
          </w:p>
        </w:tc>
        <w:tc>
          <w:tcPr>
            <w:tcW w:w="4347" w:type="dxa"/>
            <w:vMerge w:val="restart"/>
            <w:tcBorders>
              <w:top w:val="single" w:color="000000" w:sz="4" w:space="0"/>
              <w:left w:val="single" w:color="000000" w:sz="4" w:space="0"/>
              <w:right w:val="single" w:color="auto" w:sz="4" w:space="0"/>
            </w:tcBorders>
            <w:shd w:val="clear" w:color="auto" w:fill="auto"/>
            <w:vAlign w:val="center"/>
          </w:tcPr>
          <w:p w14:paraId="682AA87B">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检查依据</w:t>
            </w:r>
          </w:p>
        </w:tc>
        <w:tc>
          <w:tcPr>
            <w:tcW w:w="1509" w:type="dxa"/>
            <w:vMerge w:val="restart"/>
            <w:tcBorders>
              <w:top w:val="single" w:color="000000" w:sz="4" w:space="0"/>
              <w:left w:val="single" w:color="auto" w:sz="4" w:space="0"/>
              <w:right w:val="single" w:color="000000" w:sz="4" w:space="0"/>
            </w:tcBorders>
            <w:shd w:val="clear" w:color="auto" w:fill="auto"/>
            <w:vAlign w:val="center"/>
          </w:tcPr>
          <w:p w14:paraId="328940F7">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检查主体</w:t>
            </w:r>
          </w:p>
          <w:p w14:paraId="7DC5B733">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实施层级</w:t>
            </w:r>
          </w:p>
        </w:tc>
      </w:tr>
      <w:tr w14:paraId="2D97EFEE">
        <w:tblPrEx>
          <w:tblCellMar>
            <w:top w:w="15" w:type="dxa"/>
            <w:left w:w="15" w:type="dxa"/>
            <w:bottom w:w="15" w:type="dxa"/>
            <w:right w:w="15" w:type="dxa"/>
          </w:tblCellMar>
        </w:tblPrEx>
        <w:trPr>
          <w:trHeight w:val="349" w:hRule="atLeast"/>
        </w:trPr>
        <w:tc>
          <w:tcPr>
            <w:tcW w:w="583" w:type="dxa"/>
            <w:vMerge w:val="continue"/>
            <w:tcBorders>
              <w:left w:val="single" w:color="000000" w:sz="4" w:space="0"/>
              <w:bottom w:val="single" w:color="000000" w:sz="4" w:space="0"/>
              <w:right w:val="single" w:color="000000" w:sz="4" w:space="0"/>
            </w:tcBorders>
            <w:shd w:val="clear" w:color="auto" w:fill="auto"/>
            <w:vAlign w:val="center"/>
          </w:tcPr>
          <w:p w14:paraId="1C1C80FC">
            <w:pPr>
              <w:widowControl/>
              <w:spacing w:line="500" w:lineRule="exact"/>
              <w:jc w:val="center"/>
              <w:textAlignment w:val="center"/>
              <w:rPr>
                <w:rFonts w:ascii="黑体" w:hAnsi="宋体" w:eastAsia="黑体" w:cs="黑体"/>
                <w:b/>
                <w:bCs/>
                <w:color w:val="000000"/>
                <w:kern w:val="0"/>
                <w:sz w:val="22"/>
                <w:lang w:bidi="ar"/>
              </w:rPr>
            </w:pPr>
          </w:p>
        </w:tc>
        <w:tc>
          <w:tcPr>
            <w:tcW w:w="1532" w:type="dxa"/>
            <w:tcBorders>
              <w:top w:val="single" w:color="auto" w:sz="4" w:space="0"/>
              <w:left w:val="single" w:color="000000" w:sz="4" w:space="0"/>
              <w:bottom w:val="single" w:color="000000" w:sz="4" w:space="0"/>
              <w:right w:val="single" w:color="000000" w:sz="4" w:space="0"/>
            </w:tcBorders>
            <w:shd w:val="clear" w:color="auto" w:fill="auto"/>
            <w:vAlign w:val="center"/>
          </w:tcPr>
          <w:p w14:paraId="39DB722C">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检查类别</w:t>
            </w:r>
          </w:p>
        </w:tc>
        <w:tc>
          <w:tcPr>
            <w:tcW w:w="3618" w:type="dxa"/>
            <w:tcBorders>
              <w:top w:val="single" w:color="auto" w:sz="4" w:space="0"/>
              <w:left w:val="single" w:color="000000" w:sz="4" w:space="0"/>
              <w:bottom w:val="single" w:color="000000" w:sz="4" w:space="0"/>
              <w:right w:val="single" w:color="000000" w:sz="4" w:space="0"/>
            </w:tcBorders>
            <w:shd w:val="clear" w:color="auto" w:fill="auto"/>
            <w:vAlign w:val="center"/>
          </w:tcPr>
          <w:p w14:paraId="2F415C73">
            <w:pPr>
              <w:widowControl/>
              <w:spacing w:line="500" w:lineRule="exact"/>
              <w:jc w:val="center"/>
              <w:textAlignment w:val="center"/>
              <w:rPr>
                <w:rFonts w:ascii="宋体" w:hAnsi="宋体" w:eastAsia="宋体" w:cs="宋体"/>
                <w:b/>
                <w:bCs/>
                <w:color w:val="000000"/>
                <w:sz w:val="22"/>
              </w:rPr>
            </w:pPr>
            <w:r>
              <w:rPr>
                <w:rFonts w:hint="eastAsia" w:ascii="宋体" w:hAnsi="宋体" w:eastAsia="宋体" w:cs="宋体"/>
                <w:b/>
                <w:bCs/>
                <w:color w:val="000000"/>
                <w:sz w:val="22"/>
              </w:rPr>
              <w:t>事项名称</w:t>
            </w:r>
          </w:p>
        </w:tc>
        <w:tc>
          <w:tcPr>
            <w:tcW w:w="4347" w:type="dxa"/>
            <w:vMerge w:val="continue"/>
            <w:tcBorders>
              <w:left w:val="single" w:color="000000" w:sz="4" w:space="0"/>
              <w:bottom w:val="single" w:color="000000" w:sz="4" w:space="0"/>
              <w:right w:val="single" w:color="auto" w:sz="4" w:space="0"/>
            </w:tcBorders>
            <w:shd w:val="clear" w:color="auto" w:fill="auto"/>
            <w:vAlign w:val="center"/>
          </w:tcPr>
          <w:p w14:paraId="65853843">
            <w:pPr>
              <w:widowControl/>
              <w:spacing w:line="500" w:lineRule="exact"/>
              <w:jc w:val="center"/>
              <w:textAlignment w:val="center"/>
              <w:rPr>
                <w:rFonts w:ascii="宋体" w:hAnsi="宋体" w:eastAsia="宋体" w:cs="宋体"/>
                <w:b/>
                <w:bCs/>
                <w:color w:val="000000"/>
                <w:sz w:val="22"/>
              </w:rPr>
            </w:pPr>
          </w:p>
        </w:tc>
        <w:tc>
          <w:tcPr>
            <w:tcW w:w="1509" w:type="dxa"/>
            <w:vMerge w:val="continue"/>
            <w:tcBorders>
              <w:left w:val="single" w:color="auto" w:sz="4" w:space="0"/>
              <w:bottom w:val="single" w:color="000000" w:sz="4" w:space="0"/>
              <w:right w:val="single" w:color="000000" w:sz="4" w:space="0"/>
            </w:tcBorders>
            <w:shd w:val="clear" w:color="auto" w:fill="auto"/>
            <w:vAlign w:val="center"/>
          </w:tcPr>
          <w:p w14:paraId="17F89F0C">
            <w:pPr>
              <w:widowControl/>
              <w:spacing w:line="500" w:lineRule="exact"/>
              <w:jc w:val="center"/>
              <w:textAlignment w:val="center"/>
              <w:rPr>
                <w:rFonts w:ascii="宋体" w:hAnsi="宋体" w:eastAsia="宋体" w:cs="宋体"/>
                <w:b/>
                <w:bCs/>
                <w:color w:val="000000"/>
                <w:sz w:val="22"/>
              </w:rPr>
            </w:pPr>
          </w:p>
        </w:tc>
      </w:tr>
      <w:tr w14:paraId="21986E08">
        <w:tblPrEx>
          <w:tblCellMar>
            <w:top w:w="15" w:type="dxa"/>
            <w:left w:w="15" w:type="dxa"/>
            <w:bottom w:w="15" w:type="dxa"/>
            <w:right w:w="15" w:type="dxa"/>
          </w:tblCellMar>
        </w:tblPrEx>
        <w:trPr>
          <w:trHeight w:val="1477"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62B13">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1</w:t>
            </w:r>
          </w:p>
        </w:tc>
        <w:tc>
          <w:tcPr>
            <w:tcW w:w="1532" w:type="dxa"/>
            <w:vMerge w:val="restart"/>
            <w:tcBorders>
              <w:top w:val="single" w:color="000000" w:sz="4" w:space="0"/>
              <w:left w:val="single" w:color="000000" w:sz="4" w:space="0"/>
              <w:right w:val="single" w:color="000000" w:sz="4" w:space="0"/>
            </w:tcBorders>
            <w:shd w:val="clear" w:color="auto" w:fill="auto"/>
            <w:vAlign w:val="center"/>
          </w:tcPr>
          <w:p w14:paraId="13088677">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对水资源的</w:t>
            </w:r>
          </w:p>
          <w:p w14:paraId="56E1BF08">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监管</w:t>
            </w:r>
          </w:p>
        </w:tc>
        <w:tc>
          <w:tcPr>
            <w:tcW w:w="3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AB9D2">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对单位/个人取用水行为的检查</w:t>
            </w:r>
          </w:p>
        </w:tc>
        <w:tc>
          <w:tcPr>
            <w:tcW w:w="4347" w:type="dxa"/>
            <w:tcBorders>
              <w:top w:val="single" w:color="000000" w:sz="4" w:space="0"/>
              <w:left w:val="single" w:color="000000" w:sz="4" w:space="0"/>
              <w:bottom w:val="single" w:color="000000" w:sz="4" w:space="0"/>
              <w:right w:val="single" w:color="auto" w:sz="4" w:space="0"/>
            </w:tcBorders>
            <w:shd w:val="clear" w:color="auto" w:fill="auto"/>
            <w:vAlign w:val="center"/>
          </w:tcPr>
          <w:p w14:paraId="05979653">
            <w:pPr>
              <w:spacing w:line="500" w:lineRule="exact"/>
              <w:jc w:val="left"/>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《中华人民共和国水法》、《取水许可和水资源费征收管理条例》、《地下水管理条例》、《新疆维吾尔自治区地下水资源管理条例》</w:t>
            </w:r>
          </w:p>
        </w:tc>
        <w:tc>
          <w:tcPr>
            <w:tcW w:w="1509" w:type="dxa"/>
            <w:tcBorders>
              <w:top w:val="single" w:color="000000" w:sz="4" w:space="0"/>
              <w:left w:val="single" w:color="auto" w:sz="4" w:space="0"/>
              <w:bottom w:val="single" w:color="000000" w:sz="4" w:space="0"/>
              <w:right w:val="single" w:color="000000" w:sz="4" w:space="0"/>
            </w:tcBorders>
            <w:shd w:val="clear" w:color="auto" w:fill="auto"/>
            <w:vAlign w:val="center"/>
          </w:tcPr>
          <w:p w14:paraId="381E6CA9">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师市</w:t>
            </w:r>
          </w:p>
        </w:tc>
      </w:tr>
      <w:tr w14:paraId="38DE4678">
        <w:tblPrEx>
          <w:tblCellMar>
            <w:top w:w="15" w:type="dxa"/>
            <w:left w:w="15" w:type="dxa"/>
            <w:bottom w:w="15" w:type="dxa"/>
            <w:right w:w="15" w:type="dxa"/>
          </w:tblCellMar>
        </w:tblPrEx>
        <w:trPr>
          <w:trHeight w:val="1485"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42B4F">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2</w:t>
            </w:r>
          </w:p>
        </w:tc>
        <w:tc>
          <w:tcPr>
            <w:tcW w:w="1532" w:type="dxa"/>
            <w:vMerge w:val="continue"/>
            <w:tcBorders>
              <w:left w:val="single" w:color="000000" w:sz="4" w:space="0"/>
              <w:right w:val="single" w:color="000000" w:sz="4" w:space="0"/>
            </w:tcBorders>
            <w:shd w:val="clear" w:color="auto" w:fill="auto"/>
            <w:vAlign w:val="center"/>
          </w:tcPr>
          <w:p w14:paraId="33DC2598">
            <w:pPr>
              <w:spacing w:line="500" w:lineRule="exact"/>
              <w:jc w:val="center"/>
              <w:rPr>
                <w:rFonts w:hint="eastAsia" w:ascii="Times New Roman" w:hAnsi="Times New Roman" w:eastAsia="宋体" w:cs="Times New Roman"/>
                <w:color w:val="000000"/>
                <w:sz w:val="18"/>
                <w:szCs w:val="18"/>
              </w:rPr>
            </w:pPr>
          </w:p>
        </w:tc>
        <w:tc>
          <w:tcPr>
            <w:tcW w:w="3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D8B2A">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对取水口计量设施的检查</w:t>
            </w:r>
          </w:p>
        </w:tc>
        <w:tc>
          <w:tcPr>
            <w:tcW w:w="4347" w:type="dxa"/>
            <w:tcBorders>
              <w:top w:val="single" w:color="000000" w:sz="4" w:space="0"/>
              <w:left w:val="single" w:color="000000" w:sz="4" w:space="0"/>
              <w:bottom w:val="single" w:color="000000" w:sz="4" w:space="0"/>
              <w:right w:val="single" w:color="auto" w:sz="4" w:space="0"/>
            </w:tcBorders>
            <w:shd w:val="clear" w:color="auto" w:fill="auto"/>
            <w:vAlign w:val="center"/>
          </w:tcPr>
          <w:p w14:paraId="7B03A37C">
            <w:pPr>
              <w:spacing w:line="500" w:lineRule="exact"/>
              <w:jc w:val="left"/>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《中华人民共和国水法》、《取水许可和水资源费征收管理条例》、《地下水管理条例》、《新疆维吾尔自治区地下水资源管理条例》</w:t>
            </w:r>
          </w:p>
        </w:tc>
        <w:tc>
          <w:tcPr>
            <w:tcW w:w="1509" w:type="dxa"/>
            <w:tcBorders>
              <w:top w:val="single" w:color="000000" w:sz="4" w:space="0"/>
              <w:left w:val="single" w:color="auto" w:sz="4" w:space="0"/>
              <w:bottom w:val="single" w:color="000000" w:sz="4" w:space="0"/>
              <w:right w:val="single" w:color="000000" w:sz="4" w:space="0"/>
            </w:tcBorders>
            <w:shd w:val="clear" w:color="auto" w:fill="auto"/>
            <w:vAlign w:val="center"/>
          </w:tcPr>
          <w:p w14:paraId="7A0DD889">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师市</w:t>
            </w:r>
          </w:p>
        </w:tc>
      </w:tr>
      <w:tr w14:paraId="2E854639">
        <w:tblPrEx>
          <w:tblCellMar>
            <w:top w:w="15" w:type="dxa"/>
            <w:left w:w="15" w:type="dxa"/>
            <w:bottom w:w="15" w:type="dxa"/>
            <w:right w:w="15" w:type="dxa"/>
          </w:tblCellMar>
        </w:tblPrEx>
        <w:trPr>
          <w:trHeight w:val="1304"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15089">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3</w:t>
            </w:r>
          </w:p>
        </w:tc>
        <w:tc>
          <w:tcPr>
            <w:tcW w:w="1532" w:type="dxa"/>
            <w:vMerge w:val="continue"/>
            <w:tcBorders>
              <w:left w:val="single" w:color="000000" w:sz="4" w:space="0"/>
              <w:right w:val="single" w:color="000000" w:sz="4" w:space="0"/>
            </w:tcBorders>
            <w:shd w:val="clear" w:color="auto" w:fill="auto"/>
            <w:vAlign w:val="center"/>
          </w:tcPr>
          <w:p w14:paraId="795838F5">
            <w:pPr>
              <w:spacing w:line="500" w:lineRule="exact"/>
              <w:jc w:val="center"/>
              <w:rPr>
                <w:rFonts w:hint="eastAsia" w:ascii="Times New Roman" w:hAnsi="Times New Roman" w:eastAsia="宋体" w:cs="Times New Roman"/>
                <w:color w:val="000000"/>
                <w:sz w:val="18"/>
                <w:szCs w:val="18"/>
              </w:rPr>
            </w:pPr>
          </w:p>
        </w:tc>
        <w:tc>
          <w:tcPr>
            <w:tcW w:w="3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4E885">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对取用水数据的检查</w:t>
            </w:r>
          </w:p>
        </w:tc>
        <w:tc>
          <w:tcPr>
            <w:tcW w:w="4347" w:type="dxa"/>
            <w:tcBorders>
              <w:top w:val="single" w:color="000000" w:sz="4" w:space="0"/>
              <w:left w:val="single" w:color="000000" w:sz="4" w:space="0"/>
              <w:bottom w:val="single" w:color="000000" w:sz="4" w:space="0"/>
              <w:right w:val="single" w:color="auto" w:sz="4" w:space="0"/>
            </w:tcBorders>
            <w:shd w:val="clear" w:color="auto" w:fill="auto"/>
            <w:vAlign w:val="center"/>
          </w:tcPr>
          <w:p w14:paraId="7CAD853B">
            <w:pPr>
              <w:spacing w:line="500" w:lineRule="exact"/>
              <w:jc w:val="left"/>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《中华人民共和国水法》、《取水许可和水资源费征收管理条例》、《地下水管理条例》、《新疆维吾尔自治区地下水资源管理条例》</w:t>
            </w:r>
          </w:p>
        </w:tc>
        <w:tc>
          <w:tcPr>
            <w:tcW w:w="1509" w:type="dxa"/>
            <w:tcBorders>
              <w:top w:val="single" w:color="000000" w:sz="4" w:space="0"/>
              <w:left w:val="single" w:color="auto" w:sz="4" w:space="0"/>
              <w:bottom w:val="single" w:color="000000" w:sz="4" w:space="0"/>
              <w:right w:val="single" w:color="000000" w:sz="4" w:space="0"/>
            </w:tcBorders>
            <w:shd w:val="clear" w:color="auto" w:fill="auto"/>
            <w:vAlign w:val="center"/>
          </w:tcPr>
          <w:p w14:paraId="081FCFAA">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师市</w:t>
            </w:r>
          </w:p>
        </w:tc>
      </w:tr>
      <w:tr w14:paraId="4AE0EB39">
        <w:tblPrEx>
          <w:tblCellMar>
            <w:top w:w="15" w:type="dxa"/>
            <w:left w:w="15" w:type="dxa"/>
            <w:bottom w:w="15" w:type="dxa"/>
            <w:right w:w="15" w:type="dxa"/>
          </w:tblCellMar>
        </w:tblPrEx>
        <w:trPr>
          <w:trHeight w:val="1304"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2095E">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4</w:t>
            </w:r>
          </w:p>
        </w:tc>
        <w:tc>
          <w:tcPr>
            <w:tcW w:w="1532" w:type="dxa"/>
            <w:vMerge w:val="continue"/>
            <w:tcBorders>
              <w:left w:val="single" w:color="000000" w:sz="4" w:space="0"/>
              <w:bottom w:val="single" w:color="000000" w:sz="4" w:space="0"/>
              <w:right w:val="single" w:color="000000" w:sz="4" w:space="0"/>
            </w:tcBorders>
            <w:shd w:val="clear" w:color="auto" w:fill="auto"/>
            <w:vAlign w:val="center"/>
          </w:tcPr>
          <w:p w14:paraId="38CE4087">
            <w:pPr>
              <w:spacing w:line="500" w:lineRule="exact"/>
              <w:jc w:val="center"/>
              <w:rPr>
                <w:rFonts w:hint="eastAsia" w:ascii="Times New Roman" w:hAnsi="Times New Roman" w:eastAsia="宋体" w:cs="Times New Roman"/>
                <w:color w:val="000000"/>
                <w:sz w:val="18"/>
                <w:szCs w:val="18"/>
              </w:rPr>
            </w:pPr>
          </w:p>
        </w:tc>
        <w:tc>
          <w:tcPr>
            <w:tcW w:w="3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E4BAA">
            <w:pPr>
              <w:spacing w:line="500" w:lineRule="exact"/>
              <w:jc w:val="center"/>
              <w:rPr>
                <w:rFonts w:hint="eastAsia" w:ascii="Times New Roman" w:hAnsi="Times New Roman" w:eastAsia="宋体" w:cs="Times New Roman"/>
                <w:color w:val="000000"/>
                <w:sz w:val="18"/>
                <w:szCs w:val="18"/>
              </w:rPr>
            </w:pPr>
            <w:bookmarkStart w:id="0" w:name="OLE_LINK5"/>
            <w:bookmarkStart w:id="1" w:name="OLE_LINK6"/>
            <w:r>
              <w:rPr>
                <w:rFonts w:hint="eastAsia" w:ascii="Times New Roman" w:hAnsi="Times New Roman" w:eastAsia="宋体" w:cs="Times New Roman"/>
                <w:color w:val="000000"/>
                <w:sz w:val="18"/>
                <w:szCs w:val="18"/>
              </w:rPr>
              <w:t>对取用水单位节约用水情况的检查</w:t>
            </w:r>
            <w:bookmarkEnd w:id="0"/>
            <w:bookmarkEnd w:id="1"/>
          </w:p>
        </w:tc>
        <w:tc>
          <w:tcPr>
            <w:tcW w:w="4347" w:type="dxa"/>
            <w:tcBorders>
              <w:top w:val="single" w:color="000000" w:sz="4" w:space="0"/>
              <w:left w:val="single" w:color="000000" w:sz="4" w:space="0"/>
              <w:bottom w:val="single" w:color="000000" w:sz="4" w:space="0"/>
              <w:right w:val="single" w:color="auto" w:sz="4" w:space="0"/>
            </w:tcBorders>
            <w:shd w:val="clear" w:color="auto" w:fill="auto"/>
            <w:vAlign w:val="center"/>
          </w:tcPr>
          <w:p w14:paraId="7CF9A3AD">
            <w:pPr>
              <w:spacing w:line="500" w:lineRule="exact"/>
              <w:jc w:val="left"/>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《中华人民共和国水法》、《取水许可管理办法》、《取水许可和水资源费征收管理条例》、《节约用水条例》</w:t>
            </w:r>
          </w:p>
        </w:tc>
        <w:tc>
          <w:tcPr>
            <w:tcW w:w="1509" w:type="dxa"/>
            <w:tcBorders>
              <w:top w:val="single" w:color="000000" w:sz="4" w:space="0"/>
              <w:left w:val="single" w:color="auto" w:sz="4" w:space="0"/>
              <w:bottom w:val="single" w:color="000000" w:sz="4" w:space="0"/>
              <w:right w:val="single" w:color="000000" w:sz="4" w:space="0"/>
            </w:tcBorders>
            <w:shd w:val="clear" w:color="auto" w:fill="auto"/>
            <w:vAlign w:val="center"/>
          </w:tcPr>
          <w:p w14:paraId="10092BC5">
            <w:pPr>
              <w:spacing w:line="500" w:lineRule="exact"/>
              <w:jc w:val="center"/>
              <w:rPr>
                <w:rFonts w:hint="eastAsia" w:ascii="Times New Roman" w:hAnsi="Times New Roman" w:eastAsia="宋体" w:cs="Times New Roman"/>
                <w:color w:val="000000"/>
                <w:sz w:val="18"/>
                <w:szCs w:val="18"/>
                <w:lang w:eastAsia="zh-CN"/>
              </w:rPr>
            </w:pPr>
            <w:r>
              <w:rPr>
                <w:rFonts w:hint="eastAsia" w:ascii="Times New Roman" w:hAnsi="Times New Roman" w:eastAsia="宋体" w:cs="Times New Roman"/>
                <w:color w:val="000000"/>
                <w:sz w:val="18"/>
                <w:szCs w:val="18"/>
                <w:lang w:eastAsia="zh-CN"/>
              </w:rPr>
              <w:t>师市</w:t>
            </w:r>
          </w:p>
        </w:tc>
      </w:tr>
      <w:tr w14:paraId="1435BF19">
        <w:tblPrEx>
          <w:tblCellMar>
            <w:top w:w="15" w:type="dxa"/>
            <w:left w:w="15" w:type="dxa"/>
            <w:bottom w:w="15" w:type="dxa"/>
            <w:right w:w="15" w:type="dxa"/>
          </w:tblCellMar>
        </w:tblPrEx>
        <w:trPr>
          <w:trHeight w:val="1804"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BA415">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5</w:t>
            </w:r>
          </w:p>
        </w:tc>
        <w:tc>
          <w:tcPr>
            <w:tcW w:w="153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C3C5D">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对生建设项目水土保持的监管</w:t>
            </w:r>
          </w:p>
        </w:tc>
        <w:tc>
          <w:tcPr>
            <w:tcW w:w="3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7015B">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对生产建设项目水土保持方案实施情况及水土保持自主验收报备情况的检查</w:t>
            </w:r>
          </w:p>
        </w:tc>
        <w:tc>
          <w:tcPr>
            <w:tcW w:w="4347" w:type="dxa"/>
            <w:tcBorders>
              <w:top w:val="single" w:color="000000" w:sz="4" w:space="0"/>
              <w:left w:val="single" w:color="000000" w:sz="4" w:space="0"/>
              <w:bottom w:val="single" w:color="000000" w:sz="4" w:space="0"/>
              <w:right w:val="single" w:color="auto" w:sz="4" w:space="0"/>
            </w:tcBorders>
            <w:shd w:val="clear" w:color="auto" w:fill="auto"/>
            <w:vAlign w:val="center"/>
          </w:tcPr>
          <w:p w14:paraId="0A754618">
            <w:pPr>
              <w:spacing w:line="500" w:lineRule="exact"/>
              <w:jc w:val="left"/>
              <w:rPr>
                <w:rFonts w:hint="eastAsia" w:ascii="Times New Roman" w:hAnsi="Times New Roman" w:eastAsia="宋体" w:cs="Times New Roman"/>
                <w:color w:val="000000"/>
                <w:sz w:val="18"/>
                <w:szCs w:val="18"/>
              </w:rPr>
            </w:pPr>
          </w:p>
          <w:p w14:paraId="60F08A24">
            <w:pPr>
              <w:spacing w:line="500" w:lineRule="exact"/>
              <w:jc w:val="left"/>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中华人民共和国水土保持法》、《新疆维吾尔自治区实施&lt;中华人民共和国水土保持法&gt;办法》、《水利部办公厅关于印发〈生产建设项目水土保持监督管理办法〉的通知》（办水保〔2019〕172号）、《生产建设项目水土保持方案管理办法》（2023年1月17日水利部令第53号发布）</w:t>
            </w:r>
          </w:p>
          <w:p w14:paraId="2B1C16D7">
            <w:pPr>
              <w:spacing w:line="500" w:lineRule="exact"/>
              <w:jc w:val="left"/>
              <w:rPr>
                <w:rFonts w:hint="eastAsia" w:ascii="Times New Roman" w:hAnsi="Times New Roman" w:eastAsia="宋体" w:cs="Times New Roman"/>
                <w:color w:val="000000"/>
                <w:sz w:val="18"/>
                <w:szCs w:val="18"/>
              </w:rPr>
            </w:pPr>
          </w:p>
        </w:tc>
        <w:tc>
          <w:tcPr>
            <w:tcW w:w="1509" w:type="dxa"/>
            <w:tcBorders>
              <w:top w:val="single" w:color="000000" w:sz="4" w:space="0"/>
              <w:left w:val="single" w:color="auto" w:sz="4" w:space="0"/>
              <w:bottom w:val="single" w:color="000000" w:sz="4" w:space="0"/>
              <w:right w:val="single" w:color="000000" w:sz="4" w:space="0"/>
            </w:tcBorders>
            <w:shd w:val="clear" w:color="auto" w:fill="auto"/>
            <w:vAlign w:val="center"/>
          </w:tcPr>
          <w:p w14:paraId="7D20C34D">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师市</w:t>
            </w:r>
          </w:p>
        </w:tc>
      </w:tr>
      <w:tr w14:paraId="20285A59">
        <w:tblPrEx>
          <w:tblCellMar>
            <w:top w:w="15" w:type="dxa"/>
            <w:left w:w="15" w:type="dxa"/>
            <w:bottom w:w="15" w:type="dxa"/>
            <w:right w:w="15" w:type="dxa"/>
          </w:tblCellMar>
        </w:tblPrEx>
        <w:trPr>
          <w:trHeight w:val="1304" w:hRule="atLeast"/>
        </w:trPr>
        <w:tc>
          <w:tcPr>
            <w:tcW w:w="5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7A06C">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6</w:t>
            </w:r>
          </w:p>
        </w:tc>
        <w:tc>
          <w:tcPr>
            <w:tcW w:w="1532" w:type="dxa"/>
            <w:tcBorders>
              <w:top w:val="single" w:color="000000" w:sz="4" w:space="0"/>
              <w:left w:val="single" w:color="000000" w:sz="4" w:space="0"/>
              <w:bottom w:val="single" w:color="auto" w:sz="4" w:space="0"/>
              <w:right w:val="single" w:color="000000" w:sz="4" w:space="0"/>
            </w:tcBorders>
            <w:shd w:val="clear" w:color="auto" w:fill="auto"/>
            <w:vAlign w:val="center"/>
          </w:tcPr>
          <w:p w14:paraId="79631053">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对河道、湖泊管理范围内有关活动及建设项目的监管</w:t>
            </w:r>
          </w:p>
        </w:tc>
        <w:tc>
          <w:tcPr>
            <w:tcW w:w="36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7412B">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对编制洪水影响评价报告非防洪建设项目、河道管理范围内建设项目的行政检查</w:t>
            </w:r>
          </w:p>
        </w:tc>
        <w:tc>
          <w:tcPr>
            <w:tcW w:w="4347" w:type="dxa"/>
            <w:tcBorders>
              <w:top w:val="single" w:color="000000" w:sz="4" w:space="0"/>
              <w:left w:val="single" w:color="000000" w:sz="4" w:space="0"/>
              <w:bottom w:val="single" w:color="000000" w:sz="4" w:space="0"/>
              <w:right w:val="single" w:color="auto" w:sz="4" w:space="0"/>
            </w:tcBorders>
            <w:shd w:val="clear" w:color="auto" w:fill="auto"/>
            <w:vAlign w:val="center"/>
          </w:tcPr>
          <w:p w14:paraId="6E6E1953">
            <w:pPr>
              <w:spacing w:line="500" w:lineRule="exact"/>
              <w:jc w:val="left"/>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《中华人民共和国水法》 、 《中华人民共和国防洪法》、《中华人民共和国河道管理条例》</w:t>
            </w:r>
          </w:p>
        </w:tc>
        <w:tc>
          <w:tcPr>
            <w:tcW w:w="1509" w:type="dxa"/>
            <w:tcBorders>
              <w:top w:val="single" w:color="000000" w:sz="4" w:space="0"/>
              <w:left w:val="single" w:color="auto" w:sz="4" w:space="0"/>
              <w:bottom w:val="single" w:color="000000" w:sz="4" w:space="0"/>
              <w:right w:val="single" w:color="000000" w:sz="4" w:space="0"/>
            </w:tcBorders>
            <w:shd w:val="clear" w:color="auto" w:fill="auto"/>
            <w:vAlign w:val="center"/>
          </w:tcPr>
          <w:p w14:paraId="7E18A4A9">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师市</w:t>
            </w:r>
          </w:p>
        </w:tc>
      </w:tr>
      <w:tr w14:paraId="2619B069">
        <w:tblPrEx>
          <w:tblCellMar>
            <w:top w:w="15" w:type="dxa"/>
            <w:left w:w="15" w:type="dxa"/>
            <w:bottom w:w="15" w:type="dxa"/>
            <w:right w:w="15" w:type="dxa"/>
          </w:tblCellMar>
        </w:tblPrEx>
        <w:trPr>
          <w:trHeight w:val="90" w:hRule="atLeast"/>
        </w:trPr>
        <w:tc>
          <w:tcPr>
            <w:tcW w:w="583" w:type="dxa"/>
            <w:tcBorders>
              <w:top w:val="single" w:color="000000" w:sz="4" w:space="0"/>
              <w:left w:val="single" w:color="000000" w:sz="4" w:space="0"/>
              <w:bottom w:val="single" w:color="000000" w:sz="4" w:space="0"/>
              <w:right w:val="single" w:color="auto" w:sz="4" w:space="0"/>
            </w:tcBorders>
            <w:shd w:val="clear" w:color="auto" w:fill="auto"/>
            <w:vAlign w:val="center"/>
          </w:tcPr>
          <w:p w14:paraId="262249E0">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7</w:t>
            </w:r>
          </w:p>
        </w:tc>
        <w:tc>
          <w:tcPr>
            <w:tcW w:w="153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792AA90">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对水利行业安全生产综合监督管理</w:t>
            </w:r>
          </w:p>
        </w:tc>
        <w:tc>
          <w:tcPr>
            <w:tcW w:w="3618" w:type="dxa"/>
            <w:tcBorders>
              <w:top w:val="single" w:color="000000" w:sz="4" w:space="0"/>
              <w:left w:val="single" w:color="auto" w:sz="4" w:space="0"/>
              <w:bottom w:val="single" w:color="000000" w:sz="4" w:space="0"/>
              <w:right w:val="single" w:color="000000" w:sz="4" w:space="0"/>
            </w:tcBorders>
            <w:shd w:val="clear" w:color="auto" w:fill="auto"/>
            <w:vAlign w:val="center"/>
          </w:tcPr>
          <w:p w14:paraId="09B4990B">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对水利工程建设安全生产的监督检查</w:t>
            </w:r>
          </w:p>
        </w:tc>
        <w:tc>
          <w:tcPr>
            <w:tcW w:w="4347" w:type="dxa"/>
            <w:tcBorders>
              <w:top w:val="single" w:color="000000" w:sz="4" w:space="0"/>
              <w:left w:val="single" w:color="000000" w:sz="4" w:space="0"/>
              <w:bottom w:val="single" w:color="000000" w:sz="4" w:space="0"/>
              <w:right w:val="single" w:color="auto" w:sz="4" w:space="0"/>
            </w:tcBorders>
            <w:shd w:val="clear" w:color="auto" w:fill="auto"/>
            <w:vAlign w:val="center"/>
          </w:tcPr>
          <w:p w14:paraId="593E5B50">
            <w:pPr>
              <w:spacing w:line="500" w:lineRule="exact"/>
              <w:jc w:val="left"/>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《中华人民共和国安全生产法》、《建设工程安全生产管理条例》、《水利工程建设安全生产管理规定》</w:t>
            </w:r>
          </w:p>
        </w:tc>
        <w:tc>
          <w:tcPr>
            <w:tcW w:w="1509" w:type="dxa"/>
            <w:tcBorders>
              <w:top w:val="single" w:color="000000" w:sz="4" w:space="0"/>
              <w:left w:val="single" w:color="auto" w:sz="4" w:space="0"/>
              <w:bottom w:val="single" w:color="000000" w:sz="4" w:space="0"/>
              <w:right w:val="single" w:color="000000" w:sz="4" w:space="0"/>
            </w:tcBorders>
            <w:shd w:val="clear" w:color="auto" w:fill="auto"/>
            <w:vAlign w:val="center"/>
          </w:tcPr>
          <w:p w14:paraId="5F32F96D">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师市</w:t>
            </w:r>
          </w:p>
        </w:tc>
      </w:tr>
      <w:tr w14:paraId="4096A38C">
        <w:tblPrEx>
          <w:tblCellMar>
            <w:top w:w="15" w:type="dxa"/>
            <w:left w:w="15" w:type="dxa"/>
            <w:bottom w:w="15" w:type="dxa"/>
            <w:right w:w="15" w:type="dxa"/>
          </w:tblCellMar>
        </w:tblPrEx>
        <w:trPr>
          <w:trHeight w:val="1304" w:hRule="atLeast"/>
        </w:trPr>
        <w:tc>
          <w:tcPr>
            <w:tcW w:w="583" w:type="dxa"/>
            <w:tcBorders>
              <w:top w:val="single" w:color="000000" w:sz="4" w:space="0"/>
              <w:left w:val="single" w:color="000000" w:sz="4" w:space="0"/>
              <w:bottom w:val="single" w:color="000000" w:sz="4" w:space="0"/>
              <w:right w:val="single" w:color="auto" w:sz="4" w:space="0"/>
            </w:tcBorders>
            <w:shd w:val="clear" w:color="auto" w:fill="auto"/>
            <w:vAlign w:val="center"/>
          </w:tcPr>
          <w:p w14:paraId="66E2EE6E">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8</w:t>
            </w:r>
          </w:p>
        </w:tc>
        <w:tc>
          <w:tcPr>
            <w:tcW w:w="153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B76D307">
            <w:pPr>
              <w:spacing w:line="500" w:lineRule="exact"/>
              <w:jc w:val="center"/>
              <w:rPr>
                <w:rFonts w:hint="eastAsia" w:ascii="Times New Roman" w:hAnsi="Times New Roman" w:eastAsia="宋体" w:cs="Times New Roman"/>
                <w:color w:val="000000"/>
                <w:sz w:val="18"/>
                <w:szCs w:val="18"/>
              </w:rPr>
            </w:pPr>
          </w:p>
        </w:tc>
        <w:tc>
          <w:tcPr>
            <w:tcW w:w="3618" w:type="dxa"/>
            <w:tcBorders>
              <w:top w:val="single" w:color="000000" w:sz="4" w:space="0"/>
              <w:left w:val="single" w:color="auto" w:sz="4" w:space="0"/>
              <w:bottom w:val="single" w:color="000000" w:sz="4" w:space="0"/>
              <w:right w:val="single" w:color="000000" w:sz="4" w:space="0"/>
            </w:tcBorders>
            <w:shd w:val="clear" w:color="auto" w:fill="auto"/>
            <w:vAlign w:val="center"/>
          </w:tcPr>
          <w:p w14:paraId="5637DAE4">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对水工程运行和水工程安全活动的检查</w:t>
            </w:r>
          </w:p>
        </w:tc>
        <w:tc>
          <w:tcPr>
            <w:tcW w:w="4347" w:type="dxa"/>
            <w:tcBorders>
              <w:top w:val="single" w:color="000000" w:sz="4" w:space="0"/>
              <w:left w:val="single" w:color="000000" w:sz="4" w:space="0"/>
              <w:bottom w:val="single" w:color="000000" w:sz="4" w:space="0"/>
              <w:right w:val="single" w:color="auto" w:sz="4" w:space="0"/>
            </w:tcBorders>
            <w:shd w:val="clear" w:color="auto" w:fill="auto"/>
            <w:vAlign w:val="center"/>
          </w:tcPr>
          <w:p w14:paraId="440E5B0C">
            <w:pPr>
              <w:spacing w:line="500" w:lineRule="exact"/>
              <w:jc w:val="left"/>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《中华人民共和国水法》、《水库大坝安全管理条例》、《新疆维吾尔自治区水利工程管理和保护办法》</w:t>
            </w:r>
          </w:p>
        </w:tc>
        <w:tc>
          <w:tcPr>
            <w:tcW w:w="1509" w:type="dxa"/>
            <w:tcBorders>
              <w:top w:val="single" w:color="000000" w:sz="4" w:space="0"/>
              <w:left w:val="single" w:color="auto" w:sz="4" w:space="0"/>
              <w:bottom w:val="single" w:color="000000" w:sz="4" w:space="0"/>
              <w:right w:val="single" w:color="000000" w:sz="4" w:space="0"/>
            </w:tcBorders>
            <w:shd w:val="clear" w:color="auto" w:fill="auto"/>
            <w:vAlign w:val="center"/>
          </w:tcPr>
          <w:p w14:paraId="7B503D09">
            <w:pPr>
              <w:spacing w:line="500" w:lineRule="exact"/>
              <w:jc w:val="center"/>
              <w:rPr>
                <w:rFonts w:hint="eastAsia" w:ascii="Times New Roman" w:hAnsi="Times New Roman" w:eastAsia="宋体" w:cs="Times New Roman"/>
                <w:color w:val="000000"/>
                <w:sz w:val="18"/>
                <w:szCs w:val="18"/>
              </w:rPr>
            </w:pPr>
            <w:r>
              <w:rPr>
                <w:rFonts w:hint="eastAsia" w:ascii="Times New Roman" w:hAnsi="Times New Roman" w:eastAsia="宋体" w:cs="Times New Roman"/>
                <w:color w:val="000000"/>
                <w:sz w:val="18"/>
                <w:szCs w:val="18"/>
              </w:rPr>
              <w:t>师市</w:t>
            </w:r>
          </w:p>
        </w:tc>
      </w:tr>
    </w:tbl>
    <w:p w14:paraId="2841BEB1">
      <w:pPr>
        <w:spacing w:line="500" w:lineRule="exact"/>
        <w:rPr>
          <w:rFonts w:ascii="Times New Roman" w:hAnsi="Times New Roman" w:eastAsia="仿宋_GB2312"/>
          <w:sz w:val="32"/>
          <w:szCs w:val="32"/>
        </w:rPr>
      </w:pPr>
    </w:p>
    <w:p w14:paraId="658C6AEF">
      <w:pPr>
        <w:spacing w:line="500" w:lineRule="exact"/>
        <w:rPr>
          <w:rFonts w:ascii="Times New Roman" w:hAnsi="Times New Roman" w:eastAsia="仿宋_GB2312"/>
          <w:sz w:val="32"/>
          <w:szCs w:val="32"/>
        </w:rPr>
      </w:pPr>
    </w:p>
    <w:p w14:paraId="1E7CFE0D">
      <w:pPr>
        <w:spacing w:line="500" w:lineRule="exact"/>
        <w:rPr>
          <w:rFonts w:ascii="Times New Roman" w:hAnsi="Times New Roman" w:eastAsia="仿宋_GB2312"/>
          <w:sz w:val="32"/>
          <w:szCs w:val="32"/>
        </w:rPr>
      </w:pPr>
    </w:p>
    <w:p w14:paraId="41EB97FF">
      <w:pPr>
        <w:spacing w:line="500" w:lineRule="exact"/>
        <w:rPr>
          <w:rFonts w:ascii="Times New Roman" w:hAnsi="Times New Roman" w:eastAsia="仿宋_GB2312"/>
          <w:sz w:val="32"/>
          <w:szCs w:val="32"/>
        </w:rPr>
      </w:pPr>
    </w:p>
    <w:p w14:paraId="1A020FBF">
      <w:pPr>
        <w:spacing w:line="500" w:lineRule="exact"/>
        <w:rPr>
          <w:rFonts w:ascii="Times New Roman" w:hAnsi="Times New Roman" w:eastAsia="仿宋_GB2312"/>
          <w:sz w:val="32"/>
          <w:szCs w:val="32"/>
        </w:rPr>
      </w:pPr>
    </w:p>
    <w:p w14:paraId="07FFF658">
      <w:pPr>
        <w:spacing w:line="500" w:lineRule="exact"/>
        <w:rPr>
          <w:rFonts w:ascii="Times New Roman" w:hAnsi="Times New Roman" w:eastAsia="仿宋_GB2312"/>
          <w:sz w:val="32"/>
          <w:szCs w:val="32"/>
        </w:rPr>
      </w:pPr>
    </w:p>
    <w:p w14:paraId="64A38045">
      <w:pPr>
        <w:spacing w:line="500" w:lineRule="exact"/>
        <w:rPr>
          <w:rFonts w:ascii="Times New Roman" w:hAnsi="Times New Roman" w:eastAsia="仿宋_GB2312"/>
          <w:sz w:val="32"/>
          <w:szCs w:val="32"/>
        </w:rPr>
      </w:pPr>
    </w:p>
    <w:p w14:paraId="6662D10B">
      <w:pPr>
        <w:spacing w:line="500" w:lineRule="exact"/>
        <w:rPr>
          <w:rFonts w:ascii="Times New Roman" w:hAnsi="Times New Roman" w:eastAsia="仿宋_GB2312"/>
          <w:sz w:val="32"/>
          <w:szCs w:val="32"/>
        </w:rPr>
      </w:pPr>
    </w:p>
    <w:p w14:paraId="79DDEF33">
      <w:pPr>
        <w:spacing w:line="500" w:lineRule="exact"/>
        <w:rPr>
          <w:rFonts w:ascii="Times New Roman" w:hAnsi="Times New Roman" w:eastAsia="仿宋_GB2312"/>
          <w:sz w:val="32"/>
          <w:szCs w:val="32"/>
        </w:rPr>
      </w:pPr>
    </w:p>
    <w:p w14:paraId="220DFAD8">
      <w:pPr>
        <w:spacing w:line="500" w:lineRule="exact"/>
        <w:rPr>
          <w:rFonts w:ascii="Times New Roman" w:hAnsi="Times New Roman" w:eastAsia="仿宋_GB2312"/>
          <w:sz w:val="32"/>
          <w:szCs w:val="32"/>
        </w:rPr>
      </w:pPr>
    </w:p>
    <w:p w14:paraId="21FA9900">
      <w:pPr>
        <w:spacing w:line="500" w:lineRule="exact"/>
        <w:rPr>
          <w:rFonts w:ascii="Times New Roman" w:hAnsi="Times New Roman" w:eastAsia="仿宋_GB2312"/>
          <w:sz w:val="32"/>
          <w:szCs w:val="32"/>
        </w:rPr>
      </w:pPr>
    </w:p>
    <w:p w14:paraId="333B63DD">
      <w:pPr>
        <w:spacing w:line="500" w:lineRule="exact"/>
        <w:rPr>
          <w:rFonts w:ascii="Times New Roman" w:hAnsi="Times New Roman" w:eastAsia="仿宋_GB2312"/>
          <w:sz w:val="32"/>
          <w:szCs w:val="32"/>
        </w:rPr>
      </w:pPr>
    </w:p>
    <w:p w14:paraId="6DF1280F">
      <w:pPr>
        <w:spacing w:line="500" w:lineRule="exact"/>
        <w:rPr>
          <w:rFonts w:ascii="Times New Roman" w:hAnsi="Times New Roman" w:eastAsia="仿宋_GB2312"/>
          <w:sz w:val="32"/>
          <w:szCs w:val="32"/>
        </w:rPr>
      </w:pPr>
    </w:p>
    <w:p w14:paraId="59D28C78">
      <w:pPr>
        <w:spacing w:line="500" w:lineRule="exact"/>
        <w:rPr>
          <w:rFonts w:ascii="Times New Roman" w:hAnsi="Times New Roman" w:eastAsia="仿宋_GB2312"/>
          <w:sz w:val="32"/>
          <w:szCs w:val="32"/>
        </w:rPr>
      </w:pPr>
    </w:p>
    <w:p w14:paraId="02DC8E83">
      <w:pPr>
        <w:spacing w:line="500" w:lineRule="exact"/>
        <w:rPr>
          <w:rFonts w:ascii="Times New Roman" w:hAnsi="Times New Roman" w:eastAsia="仿宋_GB2312"/>
          <w:sz w:val="32"/>
          <w:szCs w:val="32"/>
        </w:rPr>
      </w:pPr>
    </w:p>
    <w:p w14:paraId="33BB3BE9">
      <w:pPr>
        <w:spacing w:line="500" w:lineRule="exact"/>
        <w:rPr>
          <w:rFonts w:ascii="Times New Roman" w:hAnsi="Times New Roman" w:eastAsia="仿宋_GB2312"/>
          <w:sz w:val="32"/>
          <w:szCs w:val="32"/>
        </w:rPr>
      </w:pPr>
    </w:p>
    <w:p w14:paraId="41322F13">
      <w:pPr>
        <w:spacing w:line="500" w:lineRule="exact"/>
        <w:rPr>
          <w:rFonts w:ascii="Times New Roman" w:hAnsi="Times New Roman" w:eastAsia="仿宋_GB2312"/>
          <w:sz w:val="32"/>
          <w:szCs w:val="32"/>
        </w:rPr>
      </w:pPr>
    </w:p>
    <w:p w14:paraId="10A33130">
      <w:pPr>
        <w:jc w:val="right"/>
      </w:pPr>
    </w:p>
    <w:sectPr>
      <w:type w:val="continuous"/>
      <w:pgSz w:w="16783" w:h="11850" w:orient="landscape"/>
      <w:pgMar w:top="1587" w:right="2098" w:bottom="1474" w:left="1984" w:header="1080" w:footer="1440" w:gutter="0"/>
      <w:paperSrc w:first="15" w:other="15"/>
      <w:pgNumType w:fmt="numberInDash"/>
      <w:cols w:space="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embedRegular r:id="rId1" w:fontKey="{C389D051-5377-4CF8-B723-01ABE83F1E4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00000000000000000"/>
    <w:charset w:val="86"/>
    <w:family w:val="auto"/>
    <w:pitch w:val="default"/>
    <w:sig w:usb0="00000001" w:usb1="08000000" w:usb2="00000000" w:usb3="00000000" w:csb0="00040000" w:csb1="00000000"/>
    <w:embedRegular r:id="rId2" w:fontKey="{871A2A2B-DE65-4416-B182-4D240D3AB2BB}"/>
  </w:font>
  <w:font w:name="仿宋_GB2312">
    <w:altName w:val="仿宋"/>
    <w:panose1 w:val="02010609030101010101"/>
    <w:charset w:val="86"/>
    <w:family w:val="auto"/>
    <w:pitch w:val="default"/>
    <w:sig w:usb0="00000000" w:usb1="00000000" w:usb2="00000000" w:usb3="00000000" w:csb0="00040000" w:csb1="00000000"/>
    <w:embedRegular r:id="rId3" w:fontKey="{514A7133-36FA-4806-8835-46AFBBD474FE}"/>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420"/>
  <w:drawingGridVerticalSpacing w:val="156"/>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72A27"/>
    <w:rsid w:val="002C0B42"/>
    <w:rsid w:val="006B727B"/>
    <w:rsid w:val="00746165"/>
    <w:rsid w:val="00A01BE9"/>
    <w:rsid w:val="00A66FEC"/>
    <w:rsid w:val="00BF758D"/>
    <w:rsid w:val="0118667B"/>
    <w:rsid w:val="01CA5CC8"/>
    <w:rsid w:val="035C6830"/>
    <w:rsid w:val="04B74C29"/>
    <w:rsid w:val="059E7B97"/>
    <w:rsid w:val="066C1A43"/>
    <w:rsid w:val="077010BF"/>
    <w:rsid w:val="078D7EC3"/>
    <w:rsid w:val="083B791F"/>
    <w:rsid w:val="09086E15"/>
    <w:rsid w:val="0B7A42BB"/>
    <w:rsid w:val="0CC93F95"/>
    <w:rsid w:val="0E0D1416"/>
    <w:rsid w:val="0E3015A8"/>
    <w:rsid w:val="0E87566C"/>
    <w:rsid w:val="118E04D1"/>
    <w:rsid w:val="11B06C88"/>
    <w:rsid w:val="12C56693"/>
    <w:rsid w:val="140137CB"/>
    <w:rsid w:val="14060DE1"/>
    <w:rsid w:val="145C742D"/>
    <w:rsid w:val="15E05662"/>
    <w:rsid w:val="16331C36"/>
    <w:rsid w:val="16BA5EB3"/>
    <w:rsid w:val="17CF1E32"/>
    <w:rsid w:val="19ED0DE8"/>
    <w:rsid w:val="1AC83294"/>
    <w:rsid w:val="1BCC2910"/>
    <w:rsid w:val="1CC62B63"/>
    <w:rsid w:val="1D8B2357"/>
    <w:rsid w:val="1DBA5F21"/>
    <w:rsid w:val="1DD05275"/>
    <w:rsid w:val="1E1E4F79"/>
    <w:rsid w:val="1EFA7794"/>
    <w:rsid w:val="1F1C087D"/>
    <w:rsid w:val="20436F19"/>
    <w:rsid w:val="21F726B1"/>
    <w:rsid w:val="221C5121"/>
    <w:rsid w:val="22482F0D"/>
    <w:rsid w:val="22963C78"/>
    <w:rsid w:val="22997136"/>
    <w:rsid w:val="2449469B"/>
    <w:rsid w:val="24B40117"/>
    <w:rsid w:val="24E0567E"/>
    <w:rsid w:val="251E1D03"/>
    <w:rsid w:val="253C6F9D"/>
    <w:rsid w:val="25493224"/>
    <w:rsid w:val="258B4FC9"/>
    <w:rsid w:val="258E6E89"/>
    <w:rsid w:val="25B61F3B"/>
    <w:rsid w:val="26040EF9"/>
    <w:rsid w:val="29982084"/>
    <w:rsid w:val="2A522B7B"/>
    <w:rsid w:val="2B4D4BC5"/>
    <w:rsid w:val="2D1E0AF2"/>
    <w:rsid w:val="2D976EE2"/>
    <w:rsid w:val="2E43354F"/>
    <w:rsid w:val="2EF43E97"/>
    <w:rsid w:val="300175E4"/>
    <w:rsid w:val="30405223"/>
    <w:rsid w:val="30DC319E"/>
    <w:rsid w:val="31124E12"/>
    <w:rsid w:val="34B166F0"/>
    <w:rsid w:val="364F61C0"/>
    <w:rsid w:val="37CD1A92"/>
    <w:rsid w:val="38A10829"/>
    <w:rsid w:val="39E27E37"/>
    <w:rsid w:val="3C1E0B0E"/>
    <w:rsid w:val="3DF31EB4"/>
    <w:rsid w:val="3FFA0F4B"/>
    <w:rsid w:val="40F77B80"/>
    <w:rsid w:val="41BA3087"/>
    <w:rsid w:val="41C36056"/>
    <w:rsid w:val="422E75D1"/>
    <w:rsid w:val="4269060A"/>
    <w:rsid w:val="436D237B"/>
    <w:rsid w:val="445D419E"/>
    <w:rsid w:val="45575091"/>
    <w:rsid w:val="461541A7"/>
    <w:rsid w:val="46260E9F"/>
    <w:rsid w:val="47E64D20"/>
    <w:rsid w:val="486A0C38"/>
    <w:rsid w:val="4A183041"/>
    <w:rsid w:val="4C172E84"/>
    <w:rsid w:val="50547437"/>
    <w:rsid w:val="506B379F"/>
    <w:rsid w:val="50D238F1"/>
    <w:rsid w:val="54B23402"/>
    <w:rsid w:val="550A5C7C"/>
    <w:rsid w:val="55990DAE"/>
    <w:rsid w:val="55AD03B6"/>
    <w:rsid w:val="56091A90"/>
    <w:rsid w:val="56835CE6"/>
    <w:rsid w:val="595878F9"/>
    <w:rsid w:val="59DE6C89"/>
    <w:rsid w:val="5A307F33"/>
    <w:rsid w:val="5A3E7F6B"/>
    <w:rsid w:val="5A9658BC"/>
    <w:rsid w:val="5B4678FD"/>
    <w:rsid w:val="5B9E0ECC"/>
    <w:rsid w:val="5BC16969"/>
    <w:rsid w:val="5C2515ED"/>
    <w:rsid w:val="5C606182"/>
    <w:rsid w:val="5C700ABB"/>
    <w:rsid w:val="5D4D4958"/>
    <w:rsid w:val="5D543F38"/>
    <w:rsid w:val="5D7874FB"/>
    <w:rsid w:val="5E055233"/>
    <w:rsid w:val="5E8A398A"/>
    <w:rsid w:val="5F5955C4"/>
    <w:rsid w:val="5F645F89"/>
    <w:rsid w:val="5F6461B6"/>
    <w:rsid w:val="60854409"/>
    <w:rsid w:val="611B6B1B"/>
    <w:rsid w:val="611F21AC"/>
    <w:rsid w:val="643B19AE"/>
    <w:rsid w:val="653638C5"/>
    <w:rsid w:val="664B5A0D"/>
    <w:rsid w:val="6754250A"/>
    <w:rsid w:val="67786A75"/>
    <w:rsid w:val="68CC52CB"/>
    <w:rsid w:val="69763488"/>
    <w:rsid w:val="69E228CC"/>
    <w:rsid w:val="6AF1411B"/>
    <w:rsid w:val="6E7D0E15"/>
    <w:rsid w:val="6FDD4190"/>
    <w:rsid w:val="6FF931CA"/>
    <w:rsid w:val="701337DF"/>
    <w:rsid w:val="70E17439"/>
    <w:rsid w:val="728F5ACA"/>
    <w:rsid w:val="72912A35"/>
    <w:rsid w:val="72D059B7"/>
    <w:rsid w:val="74054E08"/>
    <w:rsid w:val="74476FDF"/>
    <w:rsid w:val="74F6722B"/>
    <w:rsid w:val="75874327"/>
    <w:rsid w:val="75BC66C7"/>
    <w:rsid w:val="7711659E"/>
    <w:rsid w:val="7739563B"/>
    <w:rsid w:val="78EA70A7"/>
    <w:rsid w:val="7A15284A"/>
    <w:rsid w:val="7A886B78"/>
    <w:rsid w:val="7A954B5A"/>
    <w:rsid w:val="7B354F51"/>
    <w:rsid w:val="7B5178B1"/>
    <w:rsid w:val="7BC02341"/>
    <w:rsid w:val="7C491076"/>
    <w:rsid w:val="7DD345AE"/>
    <w:rsid w:val="7E1C41A7"/>
    <w:rsid w:val="7E6B47E6"/>
    <w:rsid w:val="7E7A711F"/>
    <w:rsid w:val="7E885398"/>
    <w:rsid w:val="7EAF0AA1"/>
    <w:rsid w:val="7ED2187F"/>
    <w:rsid w:val="7F780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7">
    <w:name w:val="Strong"/>
    <w:basedOn w:val="6"/>
    <w:qFormat/>
    <w:uiPriority w:val="0"/>
    <w:rPr>
      <w:b/>
    </w:rPr>
  </w:style>
  <w:style w:type="character" w:customStyle="1" w:styleId="8">
    <w:name w:val="页眉 Char"/>
    <w:basedOn w:val="6"/>
    <w:link w:val="3"/>
    <w:qFormat/>
    <w:uiPriority w:val="0"/>
    <w:rPr>
      <w:rFonts w:asciiTheme="minorHAnsi" w:hAnsiTheme="minorHAnsi" w:eastAsiaTheme="minorEastAsia" w:cstheme="minorBidi"/>
      <w:kern w:val="2"/>
      <w:sz w:val="18"/>
      <w:szCs w:val="18"/>
    </w:rPr>
  </w:style>
  <w:style w:type="character" w:customStyle="1" w:styleId="9">
    <w:name w:val="页脚 Char"/>
    <w:basedOn w:val="6"/>
    <w:link w:val="2"/>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2</Pages>
  <Words>759</Words>
  <Characters>769</Characters>
  <Lines>13</Lines>
  <Paragraphs>3</Paragraphs>
  <TotalTime>1</TotalTime>
  <ScaleCrop>false</ScaleCrop>
  <LinksUpToDate>false</LinksUpToDate>
  <CharactersWithSpaces>787</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2025-04-15T03:29:00Z</dcterms:created>
  <dc:creator>zhaoxinlei</dc:creator>
  <cp:lastModifiedBy>十四师政务网</cp:lastModifiedBy>
  <cp:lastPrinted>2025-03-04T04:26:00Z</cp:lastPrinted>
  <dcterms:modified xsi:type="dcterms:W3CDTF">2025-05-16T11:39:30Z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eyJoZGlkIjoiMzQ1ODc4ODZlMzU3YWY3MGUzZjRhNGYxNWVlMTQxMTUiLCJ1c2VySWQiOiIxNjU2NTU0MjE4In0=</vt:lpwstr>
  </property>
  <property fmtid="{D5CDD505-2E9C-101B-9397-08002B2CF9AE}" pid="4" name="ICV">
    <vt:lpwstr>B9C8A145572248B38BFA7526F664010F_13</vt:lpwstr>
  </property>
</Properties>
</file>