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A8E3FF">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r>
        <w:rPr>
          <w:rFonts w:hint="eastAsia" w:ascii="仿宋_GB2312" w:hAnsi="仿宋" w:eastAsia="仿宋_GB2312"/>
          <w:color w:val="auto"/>
          <w:sz w:val="32"/>
          <w:szCs w:val="32"/>
        </w:rPr>
        <w:t>附件一：</w:t>
      </w:r>
      <w:bookmarkStart w:id="0" w:name="OLE_LINK72"/>
      <w:bookmarkStart w:id="1" w:name="OLE_LINK71"/>
      <w:r>
        <w:rPr>
          <w:rFonts w:hint="eastAsia" w:ascii="仿宋_GB2312" w:hAnsi="仿宋" w:eastAsia="仿宋_GB2312"/>
          <w:color w:val="auto"/>
          <w:sz w:val="32"/>
          <w:szCs w:val="32"/>
        </w:rPr>
        <w:t>行政处罚信息公示文书格式</w:t>
      </w:r>
      <w:bookmarkEnd w:id="0"/>
      <w:bookmarkEnd w:id="1"/>
    </w:p>
    <w:p w14:paraId="1C30FAF2">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2" w:name="OLE_LINK73"/>
      <w:r>
        <w:rPr>
          <w:rFonts w:hint="eastAsia" w:ascii="新宋体" w:hAnsi="新宋体" w:eastAsia="新宋体"/>
          <w:color w:val="auto"/>
          <w:sz w:val="32"/>
          <w:szCs w:val="32"/>
        </w:rPr>
        <w:t>行政处罚信息摘要</w:t>
      </w:r>
      <w:bookmarkEnd w:id="2"/>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774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126298F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行政处罚决定书文号</w:t>
            </w:r>
          </w:p>
        </w:tc>
        <w:tc>
          <w:tcPr>
            <w:tcW w:w="4634" w:type="dxa"/>
            <w:noWrap w:val="0"/>
            <w:vAlign w:val="top"/>
          </w:tcPr>
          <w:p w14:paraId="7B1FBE4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2"/>
                <w:szCs w:val="22"/>
              </w:rPr>
            </w:pPr>
            <w:r>
              <w:rPr>
                <w:rFonts w:hint="eastAsia" w:ascii="仿宋_GB2312" w:hAnsi="黑体" w:eastAsia="仿宋_GB2312"/>
                <w:color w:val="auto"/>
                <w:sz w:val="22"/>
                <w:szCs w:val="22"/>
              </w:rPr>
              <w:t>十四师市监处罚〔202</w:t>
            </w:r>
            <w:r>
              <w:rPr>
                <w:rFonts w:hint="eastAsia" w:ascii="仿宋_GB2312" w:hAnsi="黑体" w:eastAsia="仿宋_GB2312"/>
                <w:color w:val="auto"/>
                <w:sz w:val="22"/>
                <w:szCs w:val="22"/>
                <w:lang w:val="en-US" w:eastAsia="zh-CN"/>
              </w:rPr>
              <w:t>5</w:t>
            </w:r>
            <w:r>
              <w:rPr>
                <w:rFonts w:hint="eastAsia" w:ascii="仿宋_GB2312" w:hAnsi="黑体" w:eastAsia="仿宋_GB2312"/>
                <w:color w:val="auto"/>
                <w:sz w:val="22"/>
                <w:szCs w:val="22"/>
              </w:rPr>
              <w:t>〕</w:t>
            </w:r>
            <w:r>
              <w:rPr>
                <w:rFonts w:hint="eastAsia" w:ascii="仿宋_GB2312" w:hAnsi="黑体" w:eastAsia="仿宋_GB2312"/>
                <w:color w:val="auto"/>
                <w:sz w:val="22"/>
                <w:szCs w:val="22"/>
                <w:lang w:val="en-US" w:eastAsia="zh-CN"/>
              </w:rPr>
              <w:t>8</w:t>
            </w:r>
            <w:r>
              <w:rPr>
                <w:rFonts w:hint="eastAsia" w:ascii="仿宋_GB2312" w:hAnsi="黑体" w:eastAsia="仿宋_GB2312"/>
                <w:color w:val="auto"/>
                <w:sz w:val="22"/>
                <w:szCs w:val="22"/>
              </w:rPr>
              <w:t>号</w:t>
            </w:r>
          </w:p>
        </w:tc>
      </w:tr>
      <w:tr w14:paraId="32AB1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5C1CCD33">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bdr w:val="single" w:color="auto" w:sz="4" w:space="0"/>
              </w:rPr>
            </w:pPr>
          </w:p>
          <w:p w14:paraId="158ABD3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行政处罚当事人基本情况</w:t>
            </w:r>
          </w:p>
        </w:tc>
        <w:tc>
          <w:tcPr>
            <w:tcW w:w="954" w:type="dxa"/>
            <w:vMerge w:val="restart"/>
            <w:noWrap w:val="0"/>
            <w:vAlign w:val="top"/>
          </w:tcPr>
          <w:p w14:paraId="13C6A72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个人</w:t>
            </w:r>
          </w:p>
        </w:tc>
        <w:tc>
          <w:tcPr>
            <w:tcW w:w="1980" w:type="dxa"/>
            <w:noWrap w:val="0"/>
            <w:vAlign w:val="top"/>
          </w:tcPr>
          <w:p w14:paraId="4AD10AC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bdr w:val="single" w:color="auto" w:sz="4" w:space="0"/>
              </w:rPr>
            </w:pPr>
            <w:r>
              <w:rPr>
                <w:rFonts w:hint="eastAsia" w:ascii="仿宋_GB2312" w:hAnsi="黑体" w:eastAsia="仿宋_GB2312"/>
                <w:color w:val="auto"/>
                <w:sz w:val="20"/>
                <w:szCs w:val="20"/>
              </w:rPr>
              <w:t>姓名（名称）</w:t>
            </w:r>
          </w:p>
        </w:tc>
        <w:tc>
          <w:tcPr>
            <w:tcW w:w="4634" w:type="dxa"/>
            <w:noWrap w:val="0"/>
            <w:vAlign w:val="top"/>
          </w:tcPr>
          <w:p w14:paraId="247EDCF2">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2"/>
                <w:szCs w:val="22"/>
                <w:bdr w:val="single" w:color="auto" w:sz="4" w:space="0"/>
                <w:lang w:val="en-US" w:eastAsia="zh-CN"/>
              </w:rPr>
            </w:pPr>
            <w:r>
              <w:rPr>
                <w:rFonts w:hint="eastAsia" w:ascii="仿宋_GB2312" w:hAnsi="黑体" w:eastAsia="仿宋_GB2312"/>
                <w:color w:val="auto"/>
                <w:sz w:val="20"/>
                <w:szCs w:val="20"/>
                <w:lang w:val="en-US" w:eastAsia="zh-CN"/>
              </w:rPr>
              <w:t>/</w:t>
            </w:r>
          </w:p>
        </w:tc>
      </w:tr>
      <w:tr w14:paraId="3695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EE82F1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p>
        </w:tc>
        <w:tc>
          <w:tcPr>
            <w:tcW w:w="954" w:type="dxa"/>
            <w:vMerge w:val="continue"/>
            <w:noWrap w:val="0"/>
            <w:vAlign w:val="top"/>
          </w:tcPr>
          <w:p w14:paraId="69807905">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p>
        </w:tc>
        <w:tc>
          <w:tcPr>
            <w:tcW w:w="1980" w:type="dxa"/>
            <w:noWrap w:val="0"/>
            <w:vAlign w:val="top"/>
          </w:tcPr>
          <w:p w14:paraId="73AFF41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注册号</w:t>
            </w:r>
          </w:p>
        </w:tc>
        <w:tc>
          <w:tcPr>
            <w:tcW w:w="4634" w:type="dxa"/>
            <w:noWrap w:val="0"/>
            <w:vAlign w:val="top"/>
          </w:tcPr>
          <w:p w14:paraId="5FBC88A2">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2"/>
                <w:szCs w:val="22"/>
                <w:lang w:val="en-US" w:eastAsia="zh-CN"/>
              </w:rPr>
            </w:pPr>
            <w:r>
              <w:rPr>
                <w:rFonts w:hint="eastAsia" w:ascii="仿宋_GB2312" w:hAnsi="黑体" w:eastAsia="仿宋_GB2312"/>
                <w:color w:val="auto"/>
                <w:sz w:val="22"/>
                <w:szCs w:val="22"/>
                <w:lang w:val="en-US" w:eastAsia="zh-CN"/>
              </w:rPr>
              <w:t>/</w:t>
            </w:r>
          </w:p>
        </w:tc>
      </w:tr>
      <w:tr w14:paraId="12CD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4BFFE9A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p>
        </w:tc>
        <w:tc>
          <w:tcPr>
            <w:tcW w:w="954" w:type="dxa"/>
            <w:vMerge w:val="restart"/>
            <w:noWrap w:val="0"/>
            <w:vAlign w:val="top"/>
          </w:tcPr>
          <w:p w14:paraId="4AD87BB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单位</w:t>
            </w:r>
          </w:p>
        </w:tc>
        <w:tc>
          <w:tcPr>
            <w:tcW w:w="1980" w:type="dxa"/>
            <w:noWrap w:val="0"/>
            <w:vAlign w:val="top"/>
          </w:tcPr>
          <w:p w14:paraId="6AAD8CA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名称</w:t>
            </w:r>
          </w:p>
        </w:tc>
        <w:tc>
          <w:tcPr>
            <w:tcW w:w="4634" w:type="dxa"/>
            <w:noWrap w:val="0"/>
            <w:vAlign w:val="top"/>
          </w:tcPr>
          <w:p w14:paraId="0849CC9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lang w:val="en-US" w:eastAsia="zh-CN"/>
              </w:rPr>
            </w:pPr>
            <w:r>
              <w:rPr>
                <w:rFonts w:hint="eastAsia" w:ascii="仿宋_GB2312" w:hAnsi="黑体" w:eastAsia="仿宋_GB2312"/>
                <w:color w:val="auto"/>
                <w:sz w:val="21"/>
                <w:szCs w:val="21"/>
                <w:lang w:val="en-US" w:eastAsia="zh-CN"/>
              </w:rPr>
              <w:t>昆玉市怀恩殡仪馆有限公司</w:t>
            </w:r>
          </w:p>
        </w:tc>
      </w:tr>
      <w:tr w14:paraId="266AE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0F7BBE7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p>
        </w:tc>
        <w:tc>
          <w:tcPr>
            <w:tcW w:w="954" w:type="dxa"/>
            <w:vMerge w:val="continue"/>
            <w:noWrap w:val="0"/>
            <w:vAlign w:val="top"/>
          </w:tcPr>
          <w:p w14:paraId="4009345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p>
        </w:tc>
        <w:tc>
          <w:tcPr>
            <w:tcW w:w="1980" w:type="dxa"/>
            <w:noWrap w:val="0"/>
            <w:vAlign w:val="top"/>
          </w:tcPr>
          <w:p w14:paraId="024B8B6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注册号</w:t>
            </w:r>
          </w:p>
        </w:tc>
        <w:tc>
          <w:tcPr>
            <w:tcW w:w="4634" w:type="dxa"/>
            <w:noWrap w:val="0"/>
            <w:vAlign w:val="top"/>
          </w:tcPr>
          <w:p w14:paraId="558DBFAE">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0"/>
                <w:szCs w:val="20"/>
                <w:lang w:val="en-US" w:eastAsia="zh-CN"/>
              </w:rPr>
            </w:pPr>
            <w:bookmarkStart w:id="3" w:name="dsrdwtyshxydm"/>
            <w:r>
              <w:rPr>
                <w:rFonts w:hint="default" w:ascii="仿宋_GB2312" w:hAnsi="黑体" w:eastAsia="仿宋_GB2312"/>
                <w:color w:val="auto"/>
                <w:sz w:val="24"/>
                <w:szCs w:val="24"/>
                <w:lang w:val="en-US" w:eastAsia="zh-CN"/>
              </w:rPr>
              <w:t>91659009MACRHKRK61</w:t>
            </w:r>
            <w:bookmarkEnd w:id="3"/>
          </w:p>
        </w:tc>
      </w:tr>
      <w:tr w14:paraId="4BB9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954" w:type="dxa"/>
            <w:vMerge w:val="continue"/>
            <w:noWrap w:val="0"/>
            <w:vAlign w:val="top"/>
          </w:tcPr>
          <w:p w14:paraId="56E8984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p>
        </w:tc>
        <w:tc>
          <w:tcPr>
            <w:tcW w:w="954" w:type="dxa"/>
            <w:vMerge w:val="continue"/>
            <w:noWrap w:val="0"/>
            <w:vAlign w:val="top"/>
          </w:tcPr>
          <w:p w14:paraId="41EDE45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p>
        </w:tc>
        <w:tc>
          <w:tcPr>
            <w:tcW w:w="1980" w:type="dxa"/>
            <w:noWrap w:val="0"/>
            <w:vAlign w:val="top"/>
          </w:tcPr>
          <w:p w14:paraId="7F475605">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center"/>
              <w:textAlignment w:val="auto"/>
              <w:rPr>
                <w:rFonts w:hint="eastAsia" w:ascii="仿宋_GB2312" w:hAnsi="黑体" w:eastAsia="仿宋_GB2312"/>
                <w:color w:val="auto"/>
                <w:sz w:val="20"/>
                <w:szCs w:val="20"/>
              </w:rPr>
            </w:pPr>
            <w:r>
              <w:rPr>
                <w:rFonts w:hint="eastAsia" w:ascii="仿宋_GB2312" w:hAnsi="黑体" w:eastAsia="仿宋_GB2312"/>
                <w:color w:val="auto"/>
                <w:sz w:val="20"/>
                <w:szCs w:val="20"/>
              </w:rPr>
              <w:t>法定代表人（负责人）姓名</w:t>
            </w:r>
          </w:p>
        </w:tc>
        <w:tc>
          <w:tcPr>
            <w:tcW w:w="4634" w:type="dxa"/>
            <w:noWrap w:val="0"/>
            <w:vAlign w:val="top"/>
          </w:tcPr>
          <w:p w14:paraId="75B69FB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lang w:val="en-US" w:eastAsia="zh-CN"/>
              </w:rPr>
            </w:pPr>
            <w:r>
              <w:rPr>
                <w:rFonts w:hint="eastAsia" w:ascii="仿宋_GB2312" w:hAnsi="黑体" w:eastAsia="仿宋_GB2312"/>
                <w:color w:val="auto"/>
                <w:sz w:val="22"/>
                <w:szCs w:val="22"/>
                <w:lang w:val="en-US" w:eastAsia="zh-CN"/>
              </w:rPr>
              <w:t>谢明洪</w:t>
            </w:r>
          </w:p>
        </w:tc>
      </w:tr>
      <w:tr w14:paraId="1F1A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top"/>
          </w:tcPr>
          <w:p w14:paraId="16E67BFB">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违法行为类型</w:t>
            </w:r>
          </w:p>
        </w:tc>
        <w:tc>
          <w:tcPr>
            <w:tcW w:w="4634" w:type="dxa"/>
            <w:noWrap w:val="0"/>
            <w:vAlign w:val="top"/>
          </w:tcPr>
          <w:p w14:paraId="7BA87AD4">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autoSpaceDE w:val="0"/>
              <w:autoSpaceDN/>
              <w:bidi w:val="0"/>
              <w:adjustRightInd/>
              <w:snapToGrid/>
              <w:spacing w:line="320" w:lineRule="exact"/>
              <w:ind w:firstLine="480" w:firstLineChars="200"/>
              <w:jc w:val="left"/>
              <w:textAlignment w:val="auto"/>
              <w:rPr>
                <w:rFonts w:hint="default" w:ascii="仿宋_GB2312" w:hAnsi="黑体" w:eastAsia="仿宋_GB2312"/>
                <w:color w:val="auto"/>
                <w:sz w:val="20"/>
                <w:szCs w:val="20"/>
                <w:lang w:val="en-US"/>
              </w:rPr>
            </w:pPr>
            <w:r>
              <w:rPr>
                <w:rFonts w:hint="default" w:ascii="仿宋_GB2312" w:hAnsi="黑体" w:eastAsia="仿宋_GB2312"/>
                <w:color w:val="auto"/>
                <w:sz w:val="24"/>
                <w:szCs w:val="24"/>
                <w:lang w:val="en-US" w:eastAsia="zh-CN"/>
              </w:rPr>
              <w:t>不执行政府定价</w:t>
            </w:r>
            <w:r>
              <w:rPr>
                <w:rFonts w:hint="eastAsia" w:ascii="仿宋_GB2312" w:hAnsi="黑体" w:eastAsia="仿宋_GB2312"/>
                <w:color w:val="auto"/>
                <w:sz w:val="24"/>
                <w:szCs w:val="24"/>
                <w:lang w:val="en-US" w:eastAsia="zh-CN"/>
              </w:rPr>
              <w:t>、未按规定明码标价、标价之外加价出售商品</w:t>
            </w:r>
            <w:r>
              <w:rPr>
                <w:rFonts w:hint="default" w:ascii="仿宋_GB2312" w:hAnsi="黑体" w:eastAsia="仿宋_GB2312"/>
                <w:color w:val="auto"/>
                <w:sz w:val="24"/>
                <w:szCs w:val="24"/>
                <w:lang w:val="en-US" w:eastAsia="zh-CN"/>
              </w:rPr>
              <w:t>的违法行为</w:t>
            </w:r>
            <w:r>
              <w:rPr>
                <w:rFonts w:hint="default" w:ascii="仿宋_GB2312" w:hAnsi="黑体" w:eastAsia="仿宋_GB2312"/>
                <w:color w:val="auto"/>
                <w:sz w:val="22"/>
                <w:szCs w:val="22"/>
                <w:lang w:val="en-US" w:eastAsia="zh-CN"/>
              </w:rPr>
              <w:t>。</w:t>
            </w:r>
          </w:p>
        </w:tc>
      </w:tr>
      <w:tr w14:paraId="7518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3888" w:type="dxa"/>
            <w:gridSpan w:val="3"/>
            <w:noWrap w:val="0"/>
            <w:vAlign w:val="top"/>
          </w:tcPr>
          <w:p w14:paraId="4F1F80A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p>
          <w:p w14:paraId="2AA317F2">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行政处罚内容</w:t>
            </w:r>
          </w:p>
        </w:tc>
        <w:tc>
          <w:tcPr>
            <w:tcW w:w="4634" w:type="dxa"/>
            <w:noWrap w:val="0"/>
            <w:vAlign w:val="top"/>
          </w:tcPr>
          <w:p w14:paraId="7EE35C7C">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rFonts w:hint="default" w:ascii="仿宋_GB2312" w:hAnsi="黑体" w:eastAsia="仿宋_GB2312"/>
                <w:color w:val="auto"/>
                <w:sz w:val="20"/>
                <w:szCs w:val="20"/>
                <w:lang w:val="en-US" w:eastAsia="zh-CN"/>
              </w:rPr>
            </w:pPr>
            <w:r>
              <w:rPr>
                <w:rFonts w:hint="default" w:ascii="仿宋_GB2312" w:hAnsi="黑体" w:eastAsia="仿宋_GB2312"/>
                <w:color w:val="auto"/>
                <w:sz w:val="20"/>
                <w:szCs w:val="20"/>
                <w:lang w:val="en-US" w:eastAsia="zh-CN"/>
              </w:rPr>
              <w:t>1.对当事人不执行政府定价的违法行为给予罚款2400元（贰仟肆佰元整）。</w:t>
            </w:r>
          </w:p>
          <w:p w14:paraId="016DA8AF">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rFonts w:hint="default" w:ascii="仿宋_GB2312" w:hAnsi="黑体" w:eastAsia="仿宋_GB2312"/>
                <w:color w:val="auto"/>
                <w:sz w:val="20"/>
                <w:szCs w:val="20"/>
                <w:lang w:val="en-US" w:eastAsia="zh-CN"/>
              </w:rPr>
            </w:pPr>
            <w:r>
              <w:rPr>
                <w:rFonts w:hint="default" w:ascii="仿宋_GB2312" w:hAnsi="黑体" w:eastAsia="仿宋_GB2312"/>
                <w:color w:val="auto"/>
                <w:sz w:val="20"/>
                <w:szCs w:val="20"/>
                <w:lang w:val="en-US" w:eastAsia="zh-CN"/>
              </w:rPr>
              <w:t>2.对当事人销售商品未按规定明码标价的违法行为给予罚款</w:t>
            </w:r>
            <w:r>
              <w:rPr>
                <w:rFonts w:hint="default" w:ascii="仿宋_GB2312" w:hAnsi="黑体" w:eastAsia="仿宋_GB2312"/>
                <w:color w:val="auto"/>
                <w:sz w:val="20"/>
                <w:szCs w:val="20"/>
                <w:lang w:val="en-US"/>
              </w:rPr>
              <w:t>1250元</w:t>
            </w:r>
            <w:r>
              <w:rPr>
                <w:rFonts w:hint="default" w:ascii="仿宋_GB2312" w:hAnsi="黑体" w:eastAsia="仿宋_GB2312"/>
                <w:color w:val="auto"/>
                <w:sz w:val="20"/>
                <w:szCs w:val="20"/>
                <w:lang w:val="en-US" w:eastAsia="zh-CN"/>
              </w:rPr>
              <w:t>（壹仟贰佰伍拾元整）；</w:t>
            </w:r>
          </w:p>
          <w:p w14:paraId="4588998B">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rFonts w:hint="default" w:ascii="仿宋_GB2312" w:hAnsi="黑体" w:eastAsia="仿宋_GB2312"/>
                <w:color w:val="auto"/>
                <w:sz w:val="20"/>
                <w:szCs w:val="20"/>
                <w:lang w:val="en-US" w:eastAsia="zh-CN"/>
              </w:rPr>
            </w:pPr>
            <w:r>
              <w:rPr>
                <w:rFonts w:hint="default" w:ascii="仿宋_GB2312" w:hAnsi="黑体" w:eastAsia="仿宋_GB2312"/>
                <w:color w:val="auto"/>
                <w:sz w:val="20"/>
                <w:szCs w:val="20"/>
                <w:lang w:val="en-US" w:eastAsia="zh-CN"/>
              </w:rPr>
              <w:t>3.对当事人在标价之外加价出售商品的违法行为给予罚款</w:t>
            </w:r>
            <w:r>
              <w:rPr>
                <w:rFonts w:hint="default" w:ascii="仿宋_GB2312" w:hAnsi="黑体" w:eastAsia="仿宋_GB2312"/>
                <w:color w:val="auto"/>
                <w:sz w:val="20"/>
                <w:szCs w:val="20"/>
                <w:lang w:val="en-US"/>
              </w:rPr>
              <w:t>1250元</w:t>
            </w:r>
            <w:r>
              <w:rPr>
                <w:rFonts w:hint="default" w:ascii="仿宋_GB2312" w:hAnsi="黑体" w:eastAsia="仿宋_GB2312"/>
                <w:color w:val="auto"/>
                <w:sz w:val="20"/>
                <w:szCs w:val="20"/>
                <w:lang w:val="en-US" w:eastAsia="zh-CN"/>
              </w:rPr>
              <w:t>（壹仟贰佰伍拾元整）。</w:t>
            </w:r>
          </w:p>
          <w:p w14:paraId="52AC4CDC">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20" w:lineRule="exact"/>
              <w:jc w:val="both"/>
              <w:textAlignment w:val="auto"/>
              <w:rPr>
                <w:rFonts w:hint="default" w:ascii="仿宋_GB2312" w:hAnsi="黑体" w:eastAsia="仿宋_GB2312"/>
                <w:color w:val="auto"/>
                <w:sz w:val="20"/>
                <w:szCs w:val="20"/>
                <w:lang w:val="en-US"/>
              </w:rPr>
            </w:pPr>
            <w:r>
              <w:rPr>
                <w:rFonts w:hint="default" w:ascii="仿宋_GB2312" w:hAnsi="黑体" w:eastAsia="仿宋_GB2312"/>
                <w:color w:val="auto"/>
                <w:sz w:val="20"/>
                <w:szCs w:val="20"/>
                <w:lang w:val="en-US" w:eastAsia="zh-CN"/>
              </w:rPr>
              <w:t>罚款合计4900元（肆仟玖佰元整）</w:t>
            </w:r>
            <w:r>
              <w:rPr>
                <w:rFonts w:hint="default" w:ascii="仿宋_GB2312" w:hAnsi="黑体" w:eastAsia="仿宋_GB2312"/>
                <w:color w:val="auto"/>
                <w:sz w:val="20"/>
                <w:szCs w:val="20"/>
                <w:lang w:val="en-US"/>
              </w:rPr>
              <w:t>。</w:t>
            </w:r>
          </w:p>
        </w:tc>
      </w:tr>
      <w:tr w14:paraId="6DC5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67FC44B">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作出行政处罚决定机关名称</w:t>
            </w:r>
          </w:p>
        </w:tc>
        <w:tc>
          <w:tcPr>
            <w:tcW w:w="4634" w:type="dxa"/>
            <w:noWrap w:val="0"/>
            <w:vAlign w:val="top"/>
          </w:tcPr>
          <w:p w14:paraId="6F13FAB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1"/>
                <w:szCs w:val="21"/>
              </w:rPr>
            </w:pPr>
            <w:r>
              <w:rPr>
                <w:rFonts w:hint="eastAsia" w:ascii="仿宋_GB2312" w:hAnsi="黑体" w:eastAsia="仿宋_GB2312"/>
                <w:color w:val="auto"/>
                <w:sz w:val="21"/>
                <w:szCs w:val="21"/>
              </w:rPr>
              <w:t>第十四师</w:t>
            </w:r>
            <w:r>
              <w:rPr>
                <w:rFonts w:hint="eastAsia" w:ascii="仿宋_GB2312" w:hAnsi="黑体" w:eastAsia="仿宋_GB2312"/>
                <w:color w:val="auto"/>
                <w:sz w:val="21"/>
                <w:szCs w:val="21"/>
                <w:lang w:eastAsia="zh-CN"/>
              </w:rPr>
              <w:t>昆玉市</w:t>
            </w:r>
            <w:r>
              <w:rPr>
                <w:rFonts w:hint="eastAsia" w:ascii="仿宋_GB2312" w:hAnsi="黑体" w:eastAsia="仿宋_GB2312"/>
                <w:color w:val="auto"/>
                <w:sz w:val="21"/>
                <w:szCs w:val="21"/>
              </w:rPr>
              <w:t>市场监督管理局</w:t>
            </w:r>
          </w:p>
        </w:tc>
      </w:tr>
      <w:tr w14:paraId="5457B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7B14EA83">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0"/>
                <w:szCs w:val="20"/>
              </w:rPr>
            </w:pPr>
            <w:r>
              <w:rPr>
                <w:rFonts w:hint="eastAsia" w:ascii="仿宋_GB2312" w:hAnsi="黑体" w:eastAsia="仿宋_GB2312"/>
                <w:color w:val="auto"/>
                <w:sz w:val="20"/>
                <w:szCs w:val="20"/>
              </w:rPr>
              <w:t>作出行政处罚决定日期</w:t>
            </w:r>
          </w:p>
        </w:tc>
        <w:tc>
          <w:tcPr>
            <w:tcW w:w="4634" w:type="dxa"/>
            <w:noWrap w:val="0"/>
            <w:vAlign w:val="top"/>
          </w:tcPr>
          <w:p w14:paraId="6569253A">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1"/>
                <w:szCs w:val="21"/>
                <w:lang w:val="en-US" w:eastAsia="zh-CN"/>
              </w:rPr>
            </w:pPr>
            <w:r>
              <w:rPr>
                <w:rFonts w:hint="eastAsia" w:ascii="仿宋_GB2312" w:hAnsi="黑体" w:eastAsia="仿宋_GB2312"/>
                <w:color w:val="auto"/>
                <w:sz w:val="21"/>
                <w:szCs w:val="21"/>
                <w:lang w:val="en-US" w:eastAsia="zh-CN"/>
              </w:rPr>
              <w:t>2025年5月30日</w:t>
            </w:r>
          </w:p>
        </w:tc>
      </w:tr>
    </w:tbl>
    <w:p w14:paraId="68E8050D">
      <w:pPr>
        <w:keepNext w:val="0"/>
        <w:keepLines w:val="0"/>
        <w:pageBreakBefore w:val="0"/>
        <w:widowControl/>
        <w:kinsoku/>
        <w:wordWrap/>
        <w:overflowPunct/>
        <w:topLinePunct/>
        <w:autoSpaceDE w:val="0"/>
        <w:autoSpaceDN/>
        <w:bidi w:val="0"/>
        <w:adjustRightInd/>
        <w:snapToGrid/>
        <w:spacing w:line="540" w:lineRule="exact"/>
        <w:ind w:right="0"/>
        <w:jc w:val="center"/>
        <w:textAlignment w:val="auto"/>
        <w:rPr>
          <w:rFonts w:hint="default" w:ascii="Times New Roman" w:hAnsi="Times New Roman" w:eastAsia="方正小标宋简体" w:cs="Times New Roman"/>
          <w:bCs/>
          <w:color w:val="auto"/>
          <w:sz w:val="44"/>
          <w:szCs w:val="44"/>
          <w:u w:val="none"/>
          <w:lang w:eastAsia="zh-CN"/>
        </w:rPr>
      </w:pPr>
    </w:p>
    <w:p w14:paraId="5579963C">
      <w:pPr>
        <w:keepNext w:val="0"/>
        <w:keepLines w:val="0"/>
        <w:pageBreakBefore w:val="0"/>
        <w:widowControl w:val="0"/>
        <w:tabs>
          <w:tab w:val="left" w:pos="3518"/>
        </w:tabs>
        <w:bidi w:val="0"/>
        <w:snapToGrid w:val="0"/>
        <w:spacing w:line="560" w:lineRule="exact"/>
        <w:ind w:firstLine="1746"/>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70667B7C">
      <w:pPr>
        <w:keepNext w:val="0"/>
        <w:keepLines w:val="0"/>
        <w:pageBreakBefore w:val="0"/>
        <w:widowControl w:val="0"/>
        <w:bidi w:val="0"/>
        <w:snapToGrid w:val="0"/>
        <w:spacing w:line="560" w:lineRule="exact"/>
        <w:ind w:firstLine="2637"/>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方正小标宋简体" w:cs="Times New Roman"/>
          <w:color w:val="auto"/>
          <w:spacing w:val="-2"/>
          <w:sz w:val="44"/>
          <w:szCs w:val="44"/>
          <w:highlight w:val="none"/>
        </w:rPr>
        <w:t>行政处罚决定书</w:t>
      </w:r>
    </w:p>
    <w:p w14:paraId="73445038">
      <w:pPr>
        <w:keepNext w:val="0"/>
        <w:keepLines w:val="0"/>
        <w:pageBreakBefore w:val="0"/>
        <w:wordWrap/>
        <w:topLinePunct w:val="0"/>
        <w:autoSpaceDE w:val="0"/>
        <w:autoSpaceDN w:val="0"/>
        <w:bidi w:val="0"/>
        <w:adjustRightInd w:val="0"/>
        <w:snapToGrid w:val="0"/>
        <w:spacing w:line="560" w:lineRule="exact"/>
        <w:ind w:firstLine="1836" w:firstLineChars="600"/>
        <w:jc w:val="both"/>
        <w:textAlignment w:val="auto"/>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仿宋_GB2312" w:cs="Times New Roman"/>
          <w:color w:val="auto"/>
          <w:spacing w:val="-7"/>
          <w:sz w:val="32"/>
          <w:szCs w:val="32"/>
          <w:highlight w:val="none"/>
        </w:rPr>
        <w:t>十四师市监处罚〔</w:t>
      </w:r>
      <w:r>
        <w:rPr>
          <w:rFonts w:hint="default" w:ascii="Times New Roman" w:hAnsi="Times New Roman" w:eastAsia="仿宋_GB2312" w:cs="Times New Roman"/>
          <w:color w:val="auto"/>
          <w:spacing w:val="18"/>
          <w:sz w:val="32"/>
          <w:szCs w:val="32"/>
          <w:highlight w:val="none"/>
          <w:u w:val="single"/>
        </w:rPr>
        <w:t>202</w:t>
      </w:r>
      <w:r>
        <w:rPr>
          <w:rFonts w:hint="eastAsia" w:ascii="Times New Roman" w:hAnsi="Times New Roman" w:eastAsia="仿宋_GB2312" w:cs="Times New Roman"/>
          <w:color w:val="auto"/>
          <w:spacing w:val="18"/>
          <w:sz w:val="32"/>
          <w:szCs w:val="32"/>
          <w:highlight w:val="none"/>
          <w:u w:val="single"/>
          <w:lang w:val="en-US" w:eastAsia="zh-CN"/>
        </w:rPr>
        <w:t>5</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lang w:val="en-US" w:eastAsia="zh-CN"/>
        </w:rPr>
        <w:t>8</w:t>
      </w:r>
      <w:r>
        <w:rPr>
          <w:rFonts w:hint="default" w:ascii="Times New Roman" w:hAnsi="Times New Roman" w:eastAsia="仿宋_GB2312" w:cs="Times New Roman"/>
          <w:color w:val="auto"/>
          <w:spacing w:val="-7"/>
          <w:sz w:val="32"/>
          <w:szCs w:val="32"/>
          <w:highlight w:val="none"/>
        </w:rPr>
        <w:t>号</w:t>
      </w:r>
    </w:p>
    <w:p w14:paraId="75DA11CF">
      <w:pPr>
        <w:rPr>
          <w:rFonts w:hint="default" w:ascii="Times New Roman" w:hAnsi="Times New Roman" w:cs="Times New Roman"/>
          <w:color w:val="auto"/>
          <w:highlight w:val="none"/>
        </w:rPr>
      </w:pPr>
    </w:p>
    <w:p w14:paraId="4D940EF9">
      <w:pPr>
        <w:keepNext w:val="0"/>
        <w:keepLines w:val="0"/>
        <w:pageBreakBefore w:val="0"/>
        <w:widowControl/>
        <w:kinsoku/>
        <w:wordWrap/>
        <w:overflowPunct/>
        <w:topLinePunct/>
        <w:autoSpaceDE w:val="0"/>
        <w:autoSpaceDN/>
        <w:bidi w:val="0"/>
        <w:adjustRightInd/>
        <w:snapToGrid/>
        <w:spacing w:line="560" w:lineRule="exact"/>
        <w:ind w:left="0" w:firstLine="34"/>
        <w:jc w:val="both"/>
        <w:textAlignment w:val="auto"/>
        <w:rPr>
          <w:rFonts w:hint="eastAsia" w:ascii="仿宋_GB2312" w:hAnsi="仿宋_GB2312" w:eastAsia="仿宋_GB2312" w:cs="仿宋_GB2312"/>
          <w:spacing w:val="0"/>
          <w:w w:val="100"/>
          <w:sz w:val="32"/>
          <w:szCs w:val="32"/>
          <w:u w:val="single"/>
          <w:lang w:val="en-US" w:eastAsia="zh-CN"/>
        </w:rPr>
      </w:pPr>
      <w:r>
        <w:rPr>
          <w:rFonts w:hint="eastAsia" w:ascii="仿宋_GB2312" w:hAnsi="仿宋_GB2312" w:eastAsia="仿宋_GB2312" w:cs="仿宋_GB2312"/>
          <w:spacing w:val="0"/>
          <w:w w:val="100"/>
          <w:sz w:val="32"/>
          <w:szCs w:val="32"/>
        </w:rPr>
        <w:t>当事人：</w:t>
      </w:r>
      <w:r>
        <w:rPr>
          <w:rFonts w:hint="eastAsia" w:ascii="仿宋_GB2312" w:hAnsi="仿宋_GB2312" w:eastAsia="仿宋_GB2312" w:cs="仿宋_GB2312"/>
          <w:i w:val="0"/>
          <w:iCs w:val="0"/>
          <w:color w:val="auto"/>
          <w:spacing w:val="0"/>
          <w:w w:val="100"/>
          <w:sz w:val="32"/>
          <w:szCs w:val="32"/>
          <w:highlight w:val="none"/>
          <w:u w:val="single"/>
          <w:lang w:val="en-US" w:eastAsia="zh-CN"/>
        </w:rPr>
        <w:t xml:space="preserve"> </w:t>
      </w:r>
      <w:bookmarkStart w:id="4" w:name="dsrdwmc"/>
      <w:r>
        <w:rPr>
          <w:rFonts w:hint="eastAsia" w:ascii="仿宋_GB2312" w:hAnsi="仿宋_GB2312" w:eastAsia="仿宋_GB2312" w:cs="仿宋_GB2312"/>
          <w:i w:val="0"/>
          <w:iCs w:val="0"/>
          <w:color w:val="auto"/>
          <w:spacing w:val="0"/>
          <w:w w:val="100"/>
          <w:sz w:val="32"/>
          <w:szCs w:val="32"/>
          <w:highlight w:val="none"/>
          <w:u w:val="single"/>
          <w:lang w:val="en-US" w:eastAsia="zh-CN"/>
        </w:rPr>
        <w:t>昆玉市怀恩殡仪馆有限公司</w:t>
      </w:r>
      <w:bookmarkEnd w:id="4"/>
      <w:r>
        <w:rPr>
          <w:rFonts w:hint="eastAsia" w:ascii="仿宋_GB2312" w:hAnsi="仿宋_GB2312" w:eastAsia="仿宋_GB2312" w:cs="仿宋_GB2312"/>
          <w:i w:val="0"/>
          <w:iCs w:val="0"/>
          <w:spacing w:val="0"/>
          <w:w w:val="100"/>
          <w:sz w:val="32"/>
          <w:szCs w:val="32"/>
          <w:u w:val="single"/>
          <w:lang w:val="en-US" w:eastAsia="zh-CN"/>
        </w:rPr>
        <w:t xml:space="preserve"> </w:t>
      </w:r>
      <w:r>
        <w:rPr>
          <w:rFonts w:hint="eastAsia" w:ascii="仿宋_GB2312" w:hAnsi="仿宋_GB2312" w:eastAsia="仿宋_GB2312" w:cs="仿宋_GB2312"/>
          <w:spacing w:val="0"/>
          <w:w w:val="100"/>
          <w:sz w:val="32"/>
          <w:szCs w:val="32"/>
          <w:u w:val="single"/>
          <w:lang w:val="en-US" w:eastAsia="zh-CN"/>
        </w:rPr>
        <w:t xml:space="preserve">       </w:t>
      </w:r>
      <w:r>
        <w:rPr>
          <w:rFonts w:hint="eastAsia" w:ascii="仿宋_GB2312" w:hAnsi="仿宋_GB2312" w:eastAsia="仿宋_GB2312" w:cs="仿宋_GB2312"/>
          <w:spacing w:val="0"/>
          <w:w w:val="100"/>
          <w:sz w:val="32"/>
          <w:szCs w:val="32"/>
          <w:u w:val="single"/>
        </w:rPr>
        <w:t xml:space="preserve">  </w:t>
      </w:r>
      <w:r>
        <w:rPr>
          <w:rFonts w:hint="eastAsia" w:ascii="仿宋_GB2312" w:hAnsi="仿宋_GB2312" w:eastAsia="仿宋_GB2312" w:cs="仿宋_GB2312"/>
          <w:spacing w:val="0"/>
          <w:w w:val="100"/>
          <w:sz w:val="32"/>
          <w:szCs w:val="32"/>
          <w:u w:val="single"/>
          <w:lang w:val="en-US" w:eastAsia="zh-CN"/>
        </w:rPr>
        <w:t xml:space="preserve">         </w:t>
      </w:r>
    </w:p>
    <w:p w14:paraId="438773B3">
      <w:pPr>
        <w:keepNext w:val="0"/>
        <w:keepLines w:val="0"/>
        <w:pageBreakBefore w:val="0"/>
        <w:widowControl/>
        <w:kinsoku/>
        <w:wordWrap/>
        <w:overflowPunct/>
        <w:topLinePunct/>
        <w:autoSpaceDE w:val="0"/>
        <w:autoSpaceDN/>
        <w:bidi w:val="0"/>
        <w:adjustRightInd/>
        <w:snapToGrid/>
        <w:spacing w:line="560" w:lineRule="exact"/>
        <w:ind w:left="0" w:firstLine="34"/>
        <w:jc w:val="both"/>
        <w:textAlignment w:val="auto"/>
        <w:rPr>
          <w:rFonts w:hint="eastAsia" w:ascii="仿宋_GB2312" w:hAnsi="仿宋_GB2312" w:eastAsia="仿宋_GB2312" w:cs="仿宋_GB2312"/>
          <w:spacing w:val="0"/>
          <w:w w:val="100"/>
          <w:sz w:val="32"/>
          <w:szCs w:val="32"/>
          <w:u w:val="single"/>
          <w:lang w:val="en-US" w:eastAsia="zh-CN"/>
        </w:rPr>
      </w:pPr>
      <w:r>
        <w:rPr>
          <w:rFonts w:hint="eastAsia" w:ascii="仿宋_GB2312" w:hAnsi="仿宋_GB2312" w:eastAsia="仿宋_GB2312" w:cs="仿宋_GB2312"/>
          <w:spacing w:val="0"/>
          <w:w w:val="100"/>
          <w:sz w:val="32"/>
          <w:szCs w:val="32"/>
        </w:rPr>
        <w:t>主体资格证照名称：</w:t>
      </w:r>
      <w:r>
        <w:rPr>
          <w:rFonts w:hint="eastAsia" w:ascii="仿宋_GB2312" w:hAnsi="仿宋_GB2312" w:eastAsia="仿宋_GB2312" w:cs="仿宋_GB2312"/>
          <w:spacing w:val="0"/>
          <w:w w:val="100"/>
          <w:sz w:val="32"/>
          <w:szCs w:val="32"/>
          <w:u w:val="single"/>
        </w:rPr>
        <w:t xml:space="preserve"> 营业执照</w:t>
      </w:r>
      <w:r>
        <w:rPr>
          <w:rFonts w:hint="eastAsia" w:ascii="仿宋_GB2312" w:hAnsi="仿宋_GB2312" w:eastAsia="仿宋_GB2312" w:cs="仿宋_GB2312"/>
          <w:spacing w:val="0"/>
          <w:w w:val="100"/>
          <w:sz w:val="32"/>
          <w:szCs w:val="32"/>
          <w:u w:val="single"/>
          <w:lang w:val="en-US" w:eastAsia="zh-CN"/>
        </w:rPr>
        <w:t xml:space="preserve">                         </w:t>
      </w:r>
    </w:p>
    <w:p w14:paraId="523CDAF1">
      <w:pPr>
        <w:keepNext w:val="0"/>
        <w:keepLines w:val="0"/>
        <w:pageBreakBefore w:val="0"/>
        <w:widowControl/>
        <w:kinsoku/>
        <w:wordWrap/>
        <w:overflowPunct/>
        <w:topLinePunct/>
        <w:autoSpaceDE w:val="0"/>
        <w:autoSpaceDN/>
        <w:bidi w:val="0"/>
        <w:adjustRightInd/>
        <w:snapToGrid/>
        <w:spacing w:line="560" w:lineRule="exact"/>
        <w:ind w:left="0" w:firstLine="34"/>
        <w:jc w:val="both"/>
        <w:textAlignment w:val="auto"/>
        <w:rPr>
          <w:rFonts w:hint="eastAsia" w:ascii="仿宋_GB2312" w:hAnsi="仿宋_GB2312" w:eastAsia="仿宋_GB2312" w:cs="仿宋_GB2312"/>
          <w:spacing w:val="0"/>
          <w:w w:val="100"/>
          <w:sz w:val="32"/>
          <w:szCs w:val="32"/>
          <w:u w:val="single"/>
          <w:lang w:val="en-US" w:eastAsia="zh-CN"/>
        </w:rPr>
      </w:pPr>
      <w:r>
        <w:rPr>
          <w:rFonts w:hint="eastAsia" w:ascii="仿宋_GB2312" w:hAnsi="仿宋_GB2312" w:eastAsia="仿宋_GB2312" w:cs="仿宋_GB2312"/>
          <w:spacing w:val="0"/>
          <w:w w:val="100"/>
          <w:sz w:val="32"/>
          <w:szCs w:val="32"/>
        </w:rPr>
        <w:t>统一社会信用代码：</w:t>
      </w:r>
      <w:r>
        <w:rPr>
          <w:rFonts w:hint="eastAsia" w:ascii="仿宋_GB2312" w:hAnsi="仿宋_GB2312" w:eastAsia="仿宋_GB2312" w:cs="仿宋_GB2312"/>
          <w:spacing w:val="0"/>
          <w:w w:val="100"/>
          <w:sz w:val="32"/>
          <w:szCs w:val="32"/>
          <w:u w:val="single"/>
          <w:lang w:val="en-US" w:eastAsia="zh-CN"/>
        </w:rPr>
        <w:t xml:space="preserve">91659009MACRHKRK61                </w:t>
      </w:r>
    </w:p>
    <w:p w14:paraId="4BA3CC77">
      <w:pPr>
        <w:keepNext w:val="0"/>
        <w:keepLines w:val="0"/>
        <w:pageBreakBefore w:val="0"/>
        <w:widowControl/>
        <w:kinsoku/>
        <w:wordWrap/>
        <w:overflowPunct/>
        <w:topLinePunct/>
        <w:autoSpaceDE w:val="0"/>
        <w:autoSpaceDN/>
        <w:bidi w:val="0"/>
        <w:adjustRightInd/>
        <w:snapToGrid/>
        <w:spacing w:line="560" w:lineRule="exact"/>
        <w:ind w:left="1280" w:leftChars="0" w:hanging="1280" w:hangingChars="400"/>
        <w:jc w:val="both"/>
        <w:textAlignment w:val="auto"/>
        <w:rPr>
          <w:rFonts w:hint="eastAsia" w:ascii="仿宋_GB2312" w:hAnsi="仿宋_GB2312" w:eastAsia="仿宋_GB2312" w:cs="仿宋_GB2312"/>
          <w:color w:val="auto"/>
          <w:spacing w:val="0"/>
          <w:w w:val="100"/>
          <w:sz w:val="32"/>
          <w:szCs w:val="32"/>
          <w:highlight w:val="none"/>
          <w:u w:val="single"/>
          <w:lang w:val="en-US" w:eastAsia="zh-CN"/>
        </w:rPr>
      </w:pPr>
      <w:r>
        <w:rPr>
          <w:rFonts w:hint="eastAsia" w:ascii="仿宋_GB2312" w:hAnsi="仿宋_GB2312" w:eastAsia="仿宋_GB2312" w:cs="仿宋_GB2312"/>
          <w:spacing w:val="0"/>
          <w:w w:val="100"/>
          <w:sz w:val="32"/>
          <w:szCs w:val="32"/>
          <w:highlight w:val="none"/>
          <w:lang w:val="en-US" w:eastAsia="zh-CN"/>
        </w:rPr>
        <w:t>住  所</w:t>
      </w:r>
      <w:r>
        <w:rPr>
          <w:rFonts w:hint="eastAsia" w:ascii="仿宋_GB2312" w:hAnsi="仿宋_GB2312" w:eastAsia="仿宋_GB2312" w:cs="仿宋_GB2312"/>
          <w:spacing w:val="0"/>
          <w:w w:val="100"/>
          <w:sz w:val="32"/>
          <w:szCs w:val="32"/>
          <w:highlight w:val="none"/>
        </w:rPr>
        <w:t>：</w:t>
      </w:r>
      <w:r>
        <w:rPr>
          <w:rFonts w:hint="eastAsia" w:ascii="仿宋_GB2312" w:hAnsi="仿宋_GB2312" w:eastAsia="仿宋_GB2312" w:cs="仿宋_GB2312"/>
          <w:spacing w:val="-11"/>
          <w:w w:val="100"/>
          <w:sz w:val="32"/>
          <w:szCs w:val="32"/>
          <w:highlight w:val="none"/>
          <w:u w:val="single"/>
          <w:lang w:val="en-US" w:eastAsia="zh-CN"/>
        </w:rPr>
        <w:t>新疆昆玉市城西检查站315国道以南公墓路1号殡仪馆</w:t>
      </w:r>
      <w:r>
        <w:rPr>
          <w:rFonts w:hint="eastAsia" w:ascii="仿宋_GB2312" w:hAnsi="仿宋_GB2312" w:eastAsia="仿宋_GB2312" w:cs="仿宋_GB2312"/>
          <w:color w:val="auto"/>
          <w:spacing w:val="0"/>
          <w:w w:val="100"/>
          <w:sz w:val="32"/>
          <w:szCs w:val="32"/>
          <w:highlight w:val="none"/>
          <w:u w:val="single"/>
          <w:lang w:val="en-US" w:eastAsia="zh-CN"/>
        </w:rPr>
        <w:t xml:space="preserve"> </w:t>
      </w:r>
    </w:p>
    <w:p w14:paraId="21E69C1A">
      <w:pPr>
        <w:keepNext w:val="0"/>
        <w:keepLines w:val="0"/>
        <w:pageBreakBefore w:val="0"/>
        <w:widowControl/>
        <w:kinsoku/>
        <w:wordWrap/>
        <w:overflowPunct/>
        <w:topLinePunct/>
        <w:autoSpaceDE w:val="0"/>
        <w:autoSpaceDN/>
        <w:bidi w:val="0"/>
        <w:adjustRightInd/>
        <w:snapToGrid/>
        <w:spacing w:line="560" w:lineRule="exact"/>
        <w:ind w:left="0" w:firstLine="34"/>
        <w:jc w:val="both"/>
        <w:textAlignment w:val="auto"/>
        <w:rPr>
          <w:rFonts w:hint="default" w:ascii="Times New Roman" w:hAnsi="Times New Roman" w:eastAsia="仿宋_GB2312" w:cs="Times New Roman"/>
          <w:color w:val="auto"/>
          <w:spacing w:val="0"/>
          <w:sz w:val="32"/>
          <w:szCs w:val="32"/>
          <w:highlight w:val="none"/>
        </w:rPr>
      </w:pPr>
      <w:r>
        <w:rPr>
          <w:rFonts w:hint="eastAsia" w:ascii="仿宋_GB2312" w:hAnsi="仿宋_GB2312" w:eastAsia="仿宋_GB2312" w:cs="仿宋_GB2312"/>
          <w:spacing w:val="0"/>
          <w:w w:val="100"/>
          <w:sz w:val="32"/>
          <w:szCs w:val="32"/>
          <w:highlight w:val="none"/>
          <w:lang w:val="en-US" w:eastAsia="zh-CN"/>
        </w:rPr>
        <w:t>法定代表人</w:t>
      </w:r>
      <w:r>
        <w:rPr>
          <w:rFonts w:hint="eastAsia" w:ascii="仿宋_GB2312" w:hAnsi="仿宋_GB2312" w:eastAsia="仿宋_GB2312" w:cs="仿宋_GB2312"/>
          <w:spacing w:val="0"/>
          <w:w w:val="100"/>
          <w:sz w:val="32"/>
          <w:szCs w:val="32"/>
          <w:highlight w:val="none"/>
        </w:rPr>
        <w:t>：</w:t>
      </w:r>
      <w:r>
        <w:rPr>
          <w:rFonts w:hint="eastAsia" w:ascii="仿宋_GB2312" w:hAnsi="仿宋_GB2312" w:eastAsia="仿宋_GB2312" w:cs="仿宋_GB2312"/>
          <w:spacing w:val="0"/>
          <w:w w:val="100"/>
          <w:sz w:val="32"/>
          <w:szCs w:val="32"/>
          <w:highlight w:val="none"/>
          <w:u w:val="single"/>
        </w:rPr>
        <w:t xml:space="preserve"> </w:t>
      </w:r>
      <w:r>
        <w:rPr>
          <w:rFonts w:hint="eastAsia" w:ascii="仿宋_GB2312" w:hAnsi="仿宋_GB2312" w:eastAsia="仿宋_GB2312" w:cs="仿宋_GB2312"/>
          <w:color w:val="auto"/>
          <w:spacing w:val="0"/>
          <w:w w:val="100"/>
          <w:sz w:val="32"/>
          <w:szCs w:val="32"/>
          <w:highlight w:val="none"/>
          <w:u w:val="single"/>
          <w:lang w:val="en-US" w:eastAsia="zh-CN"/>
        </w:rPr>
        <w:t xml:space="preserve"> 谢明洪</w:t>
      </w:r>
      <w:r>
        <w:rPr>
          <w:rFonts w:hint="eastAsia" w:ascii="仿宋_GB2312" w:hAnsi="仿宋_GB2312" w:eastAsia="仿宋_GB2312" w:cs="仿宋_GB2312"/>
          <w:spacing w:val="0"/>
          <w:w w:val="100"/>
          <w:sz w:val="32"/>
          <w:szCs w:val="32"/>
          <w:u w:val="single"/>
          <w:lang w:val="en-US" w:eastAsia="zh-CN"/>
        </w:rPr>
        <w:t xml:space="preserve">            </w:t>
      </w:r>
      <w:r>
        <w:rPr>
          <w:rFonts w:hint="eastAsia" w:ascii="仿宋_GB2312" w:hAnsi="仿宋_GB2312" w:eastAsia="仿宋_GB2312" w:cs="仿宋_GB2312"/>
          <w:spacing w:val="0"/>
          <w:w w:val="100"/>
          <w:sz w:val="32"/>
          <w:szCs w:val="32"/>
          <w:u w:val="single"/>
        </w:rPr>
        <w:t xml:space="preserve">       </w:t>
      </w:r>
      <w:r>
        <w:rPr>
          <w:rFonts w:hint="eastAsia" w:ascii="仿宋_GB2312" w:hAnsi="仿宋_GB2312" w:eastAsia="仿宋_GB2312" w:cs="仿宋_GB2312"/>
          <w:spacing w:val="0"/>
          <w:w w:val="100"/>
          <w:sz w:val="32"/>
          <w:szCs w:val="32"/>
          <w:u w:val="single"/>
          <w:lang w:val="en-US" w:eastAsia="zh-CN"/>
        </w:rPr>
        <w:t xml:space="preserve">  </w:t>
      </w:r>
      <w:r>
        <w:rPr>
          <w:rFonts w:hint="eastAsia" w:ascii="仿宋_GB2312" w:hAnsi="仿宋_GB2312" w:eastAsia="仿宋_GB2312" w:cs="仿宋_GB2312"/>
          <w:spacing w:val="0"/>
          <w:w w:val="100"/>
          <w:sz w:val="32"/>
          <w:szCs w:val="32"/>
          <w:u w:val="single"/>
        </w:rPr>
        <w:t xml:space="preserve">        </w:t>
      </w:r>
      <w:r>
        <w:rPr>
          <w:rFonts w:hint="eastAsia" w:ascii="仿宋_GB2312" w:hAnsi="仿宋_GB2312" w:eastAsia="仿宋_GB2312" w:cs="仿宋_GB2312"/>
          <w:spacing w:val="0"/>
          <w:w w:val="100"/>
          <w:sz w:val="32"/>
          <w:szCs w:val="32"/>
          <w:u w:val="single"/>
          <w:lang w:val="en-US" w:eastAsia="zh-CN"/>
        </w:rPr>
        <w:t xml:space="preserve"> </w:t>
      </w:r>
      <w:r>
        <w:rPr>
          <w:rFonts w:hint="eastAsia" w:ascii="仿宋_GB2312" w:hAnsi="仿宋_GB2312" w:eastAsia="仿宋_GB2312" w:cs="仿宋_GB2312"/>
          <w:spacing w:val="0"/>
          <w:w w:val="100"/>
          <w:sz w:val="32"/>
          <w:szCs w:val="32"/>
          <w:u w:val="single"/>
        </w:rPr>
        <w:t xml:space="preserve"> </w:t>
      </w:r>
      <w:r>
        <w:rPr>
          <w:rFonts w:hint="eastAsia" w:ascii="仿宋_GB2312" w:hAnsi="仿宋_GB2312" w:eastAsia="仿宋_GB2312" w:cs="仿宋_GB2312"/>
          <w:spacing w:val="0"/>
          <w:w w:val="100"/>
          <w:sz w:val="32"/>
          <w:szCs w:val="32"/>
          <w:u w:val="single"/>
          <w:lang w:val="en-US" w:eastAsia="zh-CN"/>
        </w:rPr>
        <w:t xml:space="preserve"> </w:t>
      </w:r>
    </w:p>
    <w:p w14:paraId="67CCFE14">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pacing w:val="0"/>
          <w:sz w:val="32"/>
          <w:szCs w:val="32"/>
          <w:highlight w:val="none"/>
        </w:rPr>
      </w:pPr>
    </w:p>
    <w:p w14:paraId="6B2A5CC4">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lang w:val="en-US" w:eastAsia="zh-CN"/>
        </w:rPr>
      </w:pPr>
      <w:r>
        <w:rPr>
          <w:rFonts w:hint="default" w:ascii="Times New Roman" w:hAnsi="Times New Roman" w:eastAsia="仿宋_GB2312" w:cs="Times New Roman"/>
          <w:snapToGrid/>
          <w:color w:val="auto"/>
          <w:spacing w:val="0"/>
          <w:kern w:val="0"/>
          <w:sz w:val="32"/>
          <w:szCs w:val="32"/>
          <w:lang w:val="en-US" w:eastAsia="zh-CN"/>
        </w:rPr>
        <w:t>2025年4月18日，根据</w:t>
      </w:r>
      <w:r>
        <w:rPr>
          <w:rFonts w:hint="eastAsia" w:ascii="Times New Roman" w:hAnsi="Times New Roman" w:eastAsia="仿宋_GB2312" w:cs="Times New Roman"/>
          <w:snapToGrid/>
          <w:color w:val="auto"/>
          <w:spacing w:val="0"/>
          <w:kern w:val="0"/>
          <w:sz w:val="32"/>
          <w:szCs w:val="32"/>
          <w:lang w:val="en-US" w:eastAsia="zh-CN"/>
        </w:rPr>
        <w:t>群众身边不正之风和腐败问题集中整治</w:t>
      </w:r>
      <w:r>
        <w:rPr>
          <w:rFonts w:hint="default" w:ascii="Times New Roman" w:hAnsi="Times New Roman" w:eastAsia="仿宋_GB2312" w:cs="Times New Roman"/>
          <w:snapToGrid/>
          <w:color w:val="auto"/>
          <w:spacing w:val="0"/>
          <w:kern w:val="0"/>
          <w:sz w:val="32"/>
          <w:szCs w:val="32"/>
          <w:lang w:val="en-US" w:eastAsia="zh-CN"/>
        </w:rPr>
        <w:t>专项检查工作安排，我局执法人员对昆玉市怀恩殡仪馆有限公司进行监督检查，现场检查发现当事人在死者姓名为肖</w:t>
      </w:r>
      <w:r>
        <w:rPr>
          <w:rFonts w:hint="eastAsia" w:ascii="Times New Roman" w:hAnsi="Times New Roman" w:eastAsia="仿宋_GB2312" w:cs="Times New Roman"/>
          <w:snapToGrid/>
          <w:color w:val="auto"/>
          <w:spacing w:val="0"/>
          <w:kern w:val="0"/>
          <w:sz w:val="32"/>
          <w:szCs w:val="32"/>
          <w:lang w:val="en-US" w:eastAsia="zh-CN"/>
        </w:rPr>
        <w:t>某</w:t>
      </w:r>
      <w:r>
        <w:rPr>
          <w:rFonts w:hint="default" w:ascii="Times New Roman" w:hAnsi="Times New Roman" w:eastAsia="仿宋_GB2312" w:cs="Times New Roman"/>
          <w:snapToGrid/>
          <w:color w:val="auto"/>
          <w:spacing w:val="0"/>
          <w:kern w:val="0"/>
          <w:sz w:val="32"/>
          <w:szCs w:val="32"/>
          <w:lang w:val="en-US" w:eastAsia="zh-CN"/>
        </w:rPr>
        <w:t>、苏</w:t>
      </w:r>
      <w:r>
        <w:rPr>
          <w:rFonts w:hint="eastAsia" w:ascii="Times New Roman" w:hAnsi="Times New Roman" w:eastAsia="仿宋_GB2312" w:cs="Times New Roman"/>
          <w:snapToGrid/>
          <w:color w:val="auto"/>
          <w:spacing w:val="0"/>
          <w:kern w:val="0"/>
          <w:sz w:val="32"/>
          <w:szCs w:val="32"/>
          <w:lang w:val="en-US" w:eastAsia="zh-CN"/>
        </w:rPr>
        <w:t>某</w:t>
      </w:r>
      <w:r>
        <w:rPr>
          <w:rFonts w:hint="default" w:ascii="Times New Roman" w:hAnsi="Times New Roman" w:eastAsia="仿宋_GB2312" w:cs="Times New Roman"/>
          <w:snapToGrid/>
          <w:color w:val="auto"/>
          <w:spacing w:val="0"/>
          <w:kern w:val="0"/>
          <w:sz w:val="32"/>
          <w:szCs w:val="32"/>
          <w:lang w:val="en-US" w:eastAsia="zh-CN"/>
        </w:rPr>
        <w:t>的《昆玉市怀恩殡仪馆服务收费清单》中小白花的收费价格为0.5元/朵</w:t>
      </w:r>
      <w:r>
        <w:rPr>
          <w:rFonts w:hint="eastAsia" w:ascii="Times New Roman" w:hAnsi="Times New Roman" w:eastAsia="仿宋_GB2312" w:cs="Times New Roman"/>
          <w:snapToGrid/>
          <w:color w:val="auto"/>
          <w:spacing w:val="0"/>
          <w:kern w:val="0"/>
          <w:sz w:val="32"/>
          <w:szCs w:val="32"/>
          <w:lang w:val="en-US" w:eastAsia="zh-CN"/>
        </w:rPr>
        <w:t>，</w:t>
      </w:r>
      <w:r>
        <w:rPr>
          <w:rFonts w:hint="default" w:ascii="Times New Roman" w:hAnsi="Times New Roman" w:eastAsia="仿宋_GB2312" w:cs="Times New Roman"/>
          <w:snapToGrid/>
          <w:color w:val="auto"/>
          <w:spacing w:val="0"/>
          <w:kern w:val="0"/>
          <w:sz w:val="32"/>
          <w:szCs w:val="32"/>
          <w:lang w:val="en-US" w:eastAsia="zh-CN"/>
        </w:rPr>
        <w:t>《昆玉市怀恩殡仪馆价格表》公示的小白花销售价格为0.2元/朵；现场检查</w:t>
      </w:r>
      <w:r>
        <w:rPr>
          <w:rFonts w:hint="eastAsia" w:ascii="Times New Roman" w:hAnsi="Times New Roman" w:eastAsia="仿宋_GB2312" w:cs="Times New Roman"/>
          <w:snapToGrid/>
          <w:color w:val="auto"/>
          <w:spacing w:val="0"/>
          <w:kern w:val="0"/>
          <w:sz w:val="32"/>
          <w:szCs w:val="32"/>
          <w:lang w:val="en-US" w:eastAsia="zh-CN"/>
        </w:rPr>
        <w:t>发现</w:t>
      </w:r>
      <w:r>
        <w:rPr>
          <w:rFonts w:hint="default" w:ascii="Times New Roman" w:hAnsi="Times New Roman" w:eastAsia="仿宋_GB2312" w:cs="Times New Roman"/>
          <w:snapToGrid/>
          <w:color w:val="auto"/>
          <w:spacing w:val="0"/>
          <w:kern w:val="0"/>
          <w:sz w:val="32"/>
          <w:szCs w:val="32"/>
          <w:lang w:val="en-US" w:eastAsia="zh-CN"/>
        </w:rPr>
        <w:t>死者姓名为史</w:t>
      </w:r>
      <w:r>
        <w:rPr>
          <w:rFonts w:hint="eastAsia" w:ascii="Times New Roman" w:hAnsi="Times New Roman" w:eastAsia="仿宋_GB2312" w:cs="Times New Roman"/>
          <w:snapToGrid/>
          <w:color w:val="auto"/>
          <w:spacing w:val="0"/>
          <w:kern w:val="0"/>
          <w:sz w:val="32"/>
          <w:szCs w:val="32"/>
          <w:lang w:val="en-US" w:eastAsia="zh-CN"/>
        </w:rPr>
        <w:t>某</w:t>
      </w:r>
      <w:r>
        <w:rPr>
          <w:rFonts w:hint="default" w:ascii="Times New Roman" w:hAnsi="Times New Roman" w:eastAsia="仿宋_GB2312" w:cs="Times New Roman"/>
          <w:snapToGrid/>
          <w:color w:val="auto"/>
          <w:spacing w:val="0"/>
          <w:kern w:val="0"/>
          <w:sz w:val="32"/>
          <w:szCs w:val="32"/>
          <w:lang w:val="en-US" w:eastAsia="zh-CN"/>
        </w:rPr>
        <w:t>、朱</w:t>
      </w:r>
      <w:r>
        <w:rPr>
          <w:rFonts w:hint="eastAsia" w:ascii="Times New Roman" w:hAnsi="Times New Roman" w:eastAsia="仿宋_GB2312" w:cs="Times New Roman"/>
          <w:snapToGrid/>
          <w:color w:val="auto"/>
          <w:spacing w:val="0"/>
          <w:kern w:val="0"/>
          <w:sz w:val="32"/>
          <w:szCs w:val="32"/>
          <w:lang w:val="en-US" w:eastAsia="zh-CN"/>
        </w:rPr>
        <w:t>某</w:t>
      </w:r>
      <w:r>
        <w:rPr>
          <w:rFonts w:hint="default" w:ascii="Times New Roman" w:hAnsi="Times New Roman" w:eastAsia="仿宋_GB2312" w:cs="Times New Roman"/>
          <w:snapToGrid/>
          <w:color w:val="auto"/>
          <w:spacing w:val="0"/>
          <w:kern w:val="0"/>
          <w:sz w:val="32"/>
          <w:szCs w:val="32"/>
          <w:lang w:val="en-US" w:eastAsia="zh-CN"/>
        </w:rPr>
        <w:t>、吴</w:t>
      </w:r>
      <w:r>
        <w:rPr>
          <w:rFonts w:hint="eastAsia" w:ascii="Times New Roman" w:hAnsi="Times New Roman" w:eastAsia="仿宋_GB2312" w:cs="Times New Roman"/>
          <w:snapToGrid/>
          <w:color w:val="auto"/>
          <w:spacing w:val="0"/>
          <w:kern w:val="0"/>
          <w:sz w:val="32"/>
          <w:szCs w:val="32"/>
          <w:lang w:val="en-US" w:eastAsia="zh-CN"/>
        </w:rPr>
        <w:t>某</w:t>
      </w:r>
      <w:r>
        <w:rPr>
          <w:rFonts w:hint="default" w:ascii="Times New Roman" w:hAnsi="Times New Roman" w:eastAsia="仿宋_GB2312" w:cs="Times New Roman"/>
          <w:snapToGrid/>
          <w:color w:val="auto"/>
          <w:spacing w:val="0"/>
          <w:kern w:val="0"/>
          <w:sz w:val="32"/>
          <w:szCs w:val="32"/>
          <w:lang w:val="en-US" w:eastAsia="zh-CN"/>
        </w:rPr>
        <w:t>、于</w:t>
      </w:r>
      <w:r>
        <w:rPr>
          <w:rFonts w:hint="eastAsia" w:ascii="Times New Roman" w:hAnsi="Times New Roman" w:eastAsia="仿宋_GB2312" w:cs="Times New Roman"/>
          <w:snapToGrid/>
          <w:color w:val="auto"/>
          <w:spacing w:val="0"/>
          <w:kern w:val="0"/>
          <w:sz w:val="32"/>
          <w:szCs w:val="32"/>
          <w:lang w:val="en-US" w:eastAsia="zh-CN"/>
        </w:rPr>
        <w:t>某</w:t>
      </w:r>
      <w:r>
        <w:rPr>
          <w:rFonts w:hint="default" w:ascii="Times New Roman" w:hAnsi="Times New Roman" w:eastAsia="仿宋_GB2312" w:cs="Times New Roman"/>
          <w:snapToGrid/>
          <w:color w:val="auto"/>
          <w:spacing w:val="0"/>
          <w:kern w:val="0"/>
          <w:sz w:val="32"/>
          <w:szCs w:val="32"/>
          <w:lang w:val="en-US" w:eastAsia="zh-CN"/>
        </w:rPr>
        <w:t>、翟</w:t>
      </w:r>
      <w:r>
        <w:rPr>
          <w:rFonts w:hint="eastAsia" w:ascii="Times New Roman" w:hAnsi="Times New Roman" w:eastAsia="仿宋_GB2312" w:cs="Times New Roman"/>
          <w:snapToGrid/>
          <w:color w:val="auto"/>
          <w:spacing w:val="0"/>
          <w:kern w:val="0"/>
          <w:sz w:val="32"/>
          <w:szCs w:val="32"/>
          <w:lang w:val="en-US" w:eastAsia="zh-CN"/>
        </w:rPr>
        <w:t>某</w:t>
      </w:r>
      <w:r>
        <w:rPr>
          <w:rFonts w:hint="default" w:ascii="Times New Roman" w:hAnsi="Times New Roman" w:eastAsia="仿宋_GB2312" w:cs="Times New Roman"/>
          <w:snapToGrid/>
          <w:color w:val="auto"/>
          <w:spacing w:val="0"/>
          <w:kern w:val="0"/>
          <w:sz w:val="32"/>
          <w:szCs w:val="32"/>
          <w:lang w:val="en-US" w:eastAsia="zh-CN"/>
        </w:rPr>
        <w:t>等5人收取的盖布费用单价为50元</w:t>
      </w:r>
      <w:r>
        <w:rPr>
          <w:rFonts w:hint="eastAsia" w:ascii="Times New Roman" w:hAnsi="Times New Roman" w:eastAsia="仿宋_GB2312" w:cs="Times New Roman"/>
          <w:snapToGrid/>
          <w:color w:val="auto"/>
          <w:spacing w:val="0"/>
          <w:kern w:val="0"/>
          <w:sz w:val="32"/>
          <w:szCs w:val="32"/>
          <w:lang w:val="en-US" w:eastAsia="zh-CN"/>
        </w:rPr>
        <w:t>/套(</w:t>
      </w:r>
      <w:r>
        <w:rPr>
          <w:rFonts w:hint="default" w:ascii="Times New Roman" w:hAnsi="Times New Roman" w:eastAsia="仿宋_GB2312" w:cs="Times New Roman"/>
          <w:snapToGrid/>
          <w:color w:val="auto"/>
          <w:spacing w:val="0"/>
          <w:kern w:val="0"/>
          <w:sz w:val="32"/>
          <w:szCs w:val="32"/>
          <w:lang w:val="en-US" w:eastAsia="zh-CN"/>
        </w:rPr>
        <w:t>含骨灰盒盖布、骨灰袋和骨灰盒包布</w:t>
      </w:r>
      <w:r>
        <w:rPr>
          <w:rFonts w:hint="eastAsia" w:ascii="Times New Roman" w:hAnsi="Times New Roman" w:eastAsia="仿宋_GB2312" w:cs="Times New Roman"/>
          <w:snapToGrid/>
          <w:color w:val="auto"/>
          <w:spacing w:val="0"/>
          <w:kern w:val="0"/>
          <w:sz w:val="32"/>
          <w:szCs w:val="32"/>
          <w:lang w:val="en-US" w:eastAsia="zh-CN"/>
        </w:rPr>
        <w:t>3项），</w:t>
      </w:r>
      <w:r>
        <w:rPr>
          <w:rFonts w:hint="default" w:ascii="Times New Roman" w:hAnsi="Times New Roman" w:eastAsia="仿宋_GB2312" w:cs="Times New Roman"/>
          <w:snapToGrid/>
          <w:color w:val="auto"/>
          <w:spacing w:val="0"/>
          <w:kern w:val="0"/>
          <w:sz w:val="32"/>
          <w:szCs w:val="32"/>
          <w:lang w:val="en-US" w:eastAsia="zh-CN"/>
        </w:rPr>
        <w:t>《昆玉市怀恩殡仪馆价格表》中公示的骨灰盒盖布</w:t>
      </w:r>
      <w:r>
        <w:rPr>
          <w:rFonts w:hint="eastAsia" w:ascii="Times New Roman" w:hAnsi="Times New Roman" w:eastAsia="仿宋_GB2312" w:cs="Times New Roman"/>
          <w:snapToGrid/>
          <w:color w:val="auto"/>
          <w:spacing w:val="0"/>
          <w:kern w:val="0"/>
          <w:sz w:val="32"/>
          <w:szCs w:val="32"/>
          <w:lang w:val="en-US" w:eastAsia="zh-CN"/>
        </w:rPr>
        <w:t>、</w:t>
      </w:r>
      <w:r>
        <w:rPr>
          <w:rFonts w:hint="default" w:ascii="Times New Roman" w:hAnsi="Times New Roman" w:eastAsia="仿宋_GB2312" w:cs="Times New Roman"/>
          <w:snapToGrid/>
          <w:color w:val="auto"/>
          <w:spacing w:val="0"/>
          <w:kern w:val="0"/>
          <w:sz w:val="32"/>
          <w:szCs w:val="32"/>
          <w:lang w:val="en-US" w:eastAsia="zh-CN"/>
        </w:rPr>
        <w:t>骨灰袋、骨灰盒包布</w:t>
      </w:r>
      <w:r>
        <w:rPr>
          <w:rFonts w:hint="eastAsia" w:ascii="Times New Roman" w:hAnsi="Times New Roman" w:eastAsia="仿宋_GB2312" w:cs="Times New Roman"/>
          <w:snapToGrid/>
          <w:color w:val="auto"/>
          <w:spacing w:val="0"/>
          <w:kern w:val="0"/>
          <w:sz w:val="32"/>
          <w:szCs w:val="32"/>
          <w:lang w:val="en-US" w:eastAsia="zh-CN"/>
        </w:rPr>
        <w:t>3项合计36元/套</w:t>
      </w:r>
      <w:r>
        <w:rPr>
          <w:rFonts w:hint="default" w:ascii="Times New Roman" w:hAnsi="Times New Roman" w:eastAsia="仿宋_GB2312" w:cs="Times New Roman"/>
          <w:snapToGrid/>
          <w:color w:val="auto"/>
          <w:spacing w:val="0"/>
          <w:kern w:val="0"/>
          <w:sz w:val="32"/>
          <w:szCs w:val="32"/>
          <w:lang w:val="en-US" w:eastAsia="zh-CN"/>
        </w:rPr>
        <w:t>；同时发现《昆玉市怀恩殡仪馆服务收费清单》中收取的登记本、洗漱用品、杂粮罐等殡葬服务用品未按规定进行明码标价。</w:t>
      </w:r>
    </w:p>
    <w:p w14:paraId="4FE59EE7">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lang w:val="en-US" w:eastAsia="zh-CN"/>
        </w:rPr>
      </w:pPr>
      <w:r>
        <w:rPr>
          <w:rFonts w:hint="default" w:ascii="Times New Roman" w:hAnsi="Times New Roman" w:eastAsia="仿宋_GB2312" w:cs="Times New Roman"/>
          <w:snapToGrid/>
          <w:color w:val="auto"/>
          <w:spacing w:val="0"/>
          <w:kern w:val="0"/>
          <w:sz w:val="32"/>
          <w:szCs w:val="32"/>
          <w:lang w:val="en-US" w:eastAsia="zh-CN"/>
        </w:rPr>
        <w:t>为进一步查明事实，我局于2025年</w:t>
      </w:r>
      <w:r>
        <w:rPr>
          <w:rFonts w:hint="eastAsia" w:ascii="Times New Roman" w:hAnsi="Times New Roman" w:eastAsia="仿宋_GB2312" w:cs="Times New Roman"/>
          <w:snapToGrid/>
          <w:color w:val="auto"/>
          <w:spacing w:val="0"/>
          <w:kern w:val="0"/>
          <w:sz w:val="32"/>
          <w:szCs w:val="32"/>
          <w:lang w:val="en-US" w:eastAsia="zh-CN"/>
        </w:rPr>
        <w:t>4</w:t>
      </w:r>
      <w:r>
        <w:rPr>
          <w:rFonts w:hint="default" w:ascii="Times New Roman" w:hAnsi="Times New Roman" w:eastAsia="仿宋_GB2312" w:cs="Times New Roman"/>
          <w:snapToGrid/>
          <w:color w:val="auto"/>
          <w:spacing w:val="0"/>
          <w:kern w:val="0"/>
          <w:sz w:val="32"/>
          <w:szCs w:val="32"/>
          <w:lang w:val="en-US" w:eastAsia="zh-CN"/>
        </w:rPr>
        <w:t>月</w:t>
      </w:r>
      <w:r>
        <w:rPr>
          <w:rFonts w:hint="eastAsia" w:ascii="Times New Roman" w:hAnsi="Times New Roman" w:eastAsia="仿宋_GB2312" w:cs="Times New Roman"/>
          <w:snapToGrid/>
          <w:color w:val="auto"/>
          <w:spacing w:val="0"/>
          <w:kern w:val="0"/>
          <w:sz w:val="32"/>
          <w:szCs w:val="32"/>
          <w:lang w:val="en-US" w:eastAsia="zh-CN"/>
        </w:rPr>
        <w:t>18</w:t>
      </w:r>
      <w:r>
        <w:rPr>
          <w:rFonts w:hint="default" w:ascii="Times New Roman" w:hAnsi="Times New Roman" w:eastAsia="仿宋_GB2312" w:cs="Times New Roman"/>
          <w:snapToGrid/>
          <w:color w:val="auto"/>
          <w:spacing w:val="0"/>
          <w:kern w:val="0"/>
          <w:sz w:val="32"/>
          <w:szCs w:val="32"/>
          <w:lang w:val="en-US" w:eastAsia="zh-CN"/>
        </w:rPr>
        <w:t>日立案调查。</w:t>
      </w:r>
    </w:p>
    <w:p w14:paraId="4645D7BB">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snapToGrid/>
          <w:color w:val="auto"/>
          <w:spacing w:val="0"/>
          <w:kern w:val="0"/>
          <w:sz w:val="32"/>
          <w:szCs w:val="32"/>
          <w:lang w:val="en-US" w:eastAsia="zh-CN"/>
        </w:rPr>
        <w:t>2025年</w:t>
      </w:r>
      <w:r>
        <w:rPr>
          <w:rFonts w:hint="eastAsia" w:ascii="Times New Roman" w:hAnsi="Times New Roman" w:eastAsia="仿宋_GB2312" w:cs="Times New Roman"/>
          <w:snapToGrid/>
          <w:color w:val="auto"/>
          <w:spacing w:val="0"/>
          <w:kern w:val="0"/>
          <w:sz w:val="32"/>
          <w:szCs w:val="32"/>
          <w:lang w:val="en-US" w:eastAsia="zh-CN"/>
        </w:rPr>
        <w:t>4</w:t>
      </w:r>
      <w:r>
        <w:rPr>
          <w:rFonts w:hint="default" w:ascii="Times New Roman" w:hAnsi="Times New Roman" w:eastAsia="仿宋_GB2312" w:cs="Times New Roman"/>
          <w:snapToGrid/>
          <w:color w:val="auto"/>
          <w:spacing w:val="0"/>
          <w:kern w:val="0"/>
          <w:sz w:val="32"/>
          <w:szCs w:val="32"/>
          <w:lang w:val="en-US" w:eastAsia="zh-CN"/>
        </w:rPr>
        <w:t>月</w:t>
      </w:r>
      <w:r>
        <w:rPr>
          <w:rFonts w:hint="eastAsia" w:ascii="Times New Roman" w:hAnsi="Times New Roman" w:eastAsia="仿宋_GB2312" w:cs="Times New Roman"/>
          <w:snapToGrid/>
          <w:color w:val="auto"/>
          <w:spacing w:val="0"/>
          <w:kern w:val="0"/>
          <w:sz w:val="32"/>
          <w:szCs w:val="32"/>
          <w:lang w:val="en-US" w:eastAsia="zh-CN"/>
        </w:rPr>
        <w:t>18</w:t>
      </w:r>
      <w:r>
        <w:rPr>
          <w:rFonts w:hint="default" w:ascii="Times New Roman" w:hAnsi="Times New Roman" w:eastAsia="仿宋_GB2312" w:cs="Times New Roman"/>
          <w:snapToGrid/>
          <w:color w:val="auto"/>
          <w:spacing w:val="0"/>
          <w:kern w:val="0"/>
          <w:sz w:val="32"/>
          <w:szCs w:val="32"/>
          <w:lang w:val="en-US" w:eastAsia="zh-CN"/>
        </w:rPr>
        <w:t>日，我局执法人员依法对当事人住所进行现场检查，并制作现场笔录1份。</w:t>
      </w:r>
      <w:r>
        <w:rPr>
          <w:rFonts w:hint="eastAsia" w:ascii="Times New Roman" w:hAnsi="Times New Roman" w:eastAsia="仿宋_GB2312" w:cs="Times New Roman"/>
          <w:snapToGrid/>
          <w:color w:val="auto"/>
          <w:spacing w:val="0"/>
          <w:kern w:val="0"/>
          <w:sz w:val="32"/>
          <w:szCs w:val="32"/>
          <w:lang w:val="en-US" w:eastAsia="zh-CN"/>
        </w:rPr>
        <w:t>2025年4月18日，我局依法对当事人下达第十四师市场监督管理局责令退款通知书（第十四师市监责退〔2025〕1-3-001号）1份。</w:t>
      </w:r>
      <w:r>
        <w:rPr>
          <w:rFonts w:hint="default" w:ascii="Times New Roman" w:hAnsi="Times New Roman" w:eastAsia="仿宋_GB2312" w:cs="Times New Roman"/>
          <w:snapToGrid/>
          <w:color w:val="auto"/>
          <w:spacing w:val="0"/>
          <w:kern w:val="0"/>
          <w:sz w:val="32"/>
          <w:szCs w:val="32"/>
          <w:lang w:val="en-US" w:eastAsia="zh-CN"/>
        </w:rPr>
        <w:t>2025年</w:t>
      </w:r>
      <w:r>
        <w:rPr>
          <w:rFonts w:hint="eastAsia" w:ascii="Times New Roman" w:hAnsi="Times New Roman" w:eastAsia="仿宋_GB2312" w:cs="Times New Roman"/>
          <w:snapToGrid/>
          <w:color w:val="auto"/>
          <w:spacing w:val="0"/>
          <w:kern w:val="0"/>
          <w:sz w:val="32"/>
          <w:szCs w:val="32"/>
          <w:lang w:val="en-US" w:eastAsia="zh-CN"/>
        </w:rPr>
        <w:t>4</w:t>
      </w:r>
      <w:r>
        <w:rPr>
          <w:rFonts w:hint="default" w:ascii="Times New Roman" w:hAnsi="Times New Roman" w:eastAsia="仿宋_GB2312" w:cs="Times New Roman"/>
          <w:snapToGrid/>
          <w:color w:val="auto"/>
          <w:spacing w:val="0"/>
          <w:kern w:val="0"/>
          <w:sz w:val="32"/>
          <w:szCs w:val="32"/>
          <w:lang w:val="en-US" w:eastAsia="zh-CN"/>
        </w:rPr>
        <w:t>月2</w:t>
      </w:r>
      <w:r>
        <w:rPr>
          <w:rFonts w:hint="eastAsia" w:ascii="Times New Roman" w:hAnsi="Times New Roman" w:eastAsia="仿宋_GB2312" w:cs="Times New Roman"/>
          <w:snapToGrid/>
          <w:color w:val="auto"/>
          <w:spacing w:val="0"/>
          <w:kern w:val="0"/>
          <w:sz w:val="32"/>
          <w:szCs w:val="32"/>
          <w:lang w:val="en-US" w:eastAsia="zh-CN"/>
        </w:rPr>
        <w:t>4</w:t>
      </w:r>
      <w:r>
        <w:rPr>
          <w:rFonts w:hint="default" w:ascii="Times New Roman" w:hAnsi="Times New Roman" w:eastAsia="仿宋_GB2312" w:cs="Times New Roman"/>
          <w:snapToGrid/>
          <w:color w:val="auto"/>
          <w:spacing w:val="0"/>
          <w:kern w:val="0"/>
          <w:sz w:val="32"/>
          <w:szCs w:val="32"/>
          <w:lang w:val="en-US" w:eastAsia="zh-CN"/>
        </w:rPr>
        <w:t>日，我局执法人员依法对</w:t>
      </w:r>
      <w:r>
        <w:rPr>
          <w:rFonts w:hint="eastAsia" w:ascii="Times New Roman" w:hAnsi="Times New Roman" w:eastAsia="仿宋_GB2312" w:cs="Times New Roman"/>
          <w:snapToGrid/>
          <w:color w:val="auto"/>
          <w:spacing w:val="0"/>
          <w:kern w:val="0"/>
          <w:sz w:val="32"/>
          <w:szCs w:val="32"/>
          <w:lang w:val="en-US" w:eastAsia="zh-CN"/>
        </w:rPr>
        <w:t>当事人法定代表人谢明洪</w:t>
      </w:r>
      <w:r>
        <w:rPr>
          <w:rFonts w:hint="default" w:ascii="Times New Roman" w:hAnsi="Times New Roman" w:eastAsia="仿宋_GB2312" w:cs="Times New Roman"/>
          <w:snapToGrid/>
          <w:color w:val="auto"/>
          <w:spacing w:val="0"/>
          <w:kern w:val="0"/>
          <w:sz w:val="32"/>
          <w:szCs w:val="32"/>
          <w:lang w:val="en-US" w:eastAsia="zh-CN"/>
        </w:rPr>
        <w:t>进行询问调查并制作询问笔录</w:t>
      </w:r>
      <w:r>
        <w:rPr>
          <w:rFonts w:hint="eastAsia" w:ascii="Times New Roman" w:hAnsi="Times New Roman" w:eastAsia="仿宋_GB2312" w:cs="Times New Roman"/>
          <w:snapToGrid/>
          <w:color w:val="auto"/>
          <w:spacing w:val="0"/>
          <w:kern w:val="0"/>
          <w:sz w:val="32"/>
          <w:szCs w:val="32"/>
          <w:lang w:val="en-US" w:eastAsia="zh-CN"/>
        </w:rPr>
        <w:t>1</w:t>
      </w:r>
      <w:r>
        <w:rPr>
          <w:rFonts w:hint="default" w:ascii="Times New Roman" w:hAnsi="Times New Roman" w:eastAsia="仿宋_GB2312" w:cs="Times New Roman"/>
          <w:snapToGrid/>
          <w:color w:val="auto"/>
          <w:spacing w:val="0"/>
          <w:kern w:val="0"/>
          <w:sz w:val="32"/>
          <w:szCs w:val="32"/>
          <w:lang w:val="en-US" w:eastAsia="zh-CN"/>
        </w:rPr>
        <w:t>份。调查过程中，依法提取了当事人</w:t>
      </w:r>
      <w:r>
        <w:rPr>
          <w:rFonts w:hint="eastAsia" w:ascii="Times New Roman" w:hAnsi="Times New Roman" w:eastAsia="仿宋_GB2312" w:cs="Times New Roman"/>
          <w:snapToGrid/>
          <w:color w:val="auto"/>
          <w:spacing w:val="0"/>
          <w:kern w:val="0"/>
          <w:sz w:val="32"/>
          <w:szCs w:val="32"/>
          <w:lang w:val="en-US" w:eastAsia="zh-CN"/>
        </w:rPr>
        <w:t>营业执照</w:t>
      </w:r>
      <w:r>
        <w:rPr>
          <w:rFonts w:hint="default" w:ascii="Times New Roman" w:hAnsi="Times New Roman" w:eastAsia="仿宋_GB2312" w:cs="Times New Roman"/>
          <w:snapToGrid/>
          <w:color w:val="auto"/>
          <w:spacing w:val="0"/>
          <w:kern w:val="0"/>
          <w:sz w:val="32"/>
          <w:szCs w:val="32"/>
          <w:lang w:val="en-US" w:eastAsia="zh-CN"/>
        </w:rPr>
        <w:t>、</w:t>
      </w:r>
      <w:r>
        <w:rPr>
          <w:rFonts w:hint="eastAsia" w:ascii="Times New Roman" w:hAnsi="Times New Roman" w:eastAsia="仿宋_GB2312" w:cs="Times New Roman"/>
          <w:snapToGrid/>
          <w:color w:val="auto"/>
          <w:spacing w:val="0"/>
          <w:kern w:val="0"/>
          <w:sz w:val="32"/>
          <w:szCs w:val="32"/>
          <w:lang w:val="en-US" w:eastAsia="zh-CN"/>
        </w:rPr>
        <w:t>昆玉市怀恩殡仪馆价格表、昆玉市怀恩殡仪馆服务收费清单、昆玉市怀恩殡仪馆死亡人员台账（自2023年运营以来）</w:t>
      </w:r>
      <w:r>
        <w:rPr>
          <w:rFonts w:hint="default" w:ascii="Times New Roman" w:hAnsi="Times New Roman" w:eastAsia="仿宋_GB2312" w:cs="Times New Roman"/>
          <w:snapToGrid/>
          <w:color w:val="auto"/>
          <w:spacing w:val="0"/>
          <w:kern w:val="0"/>
          <w:sz w:val="32"/>
          <w:szCs w:val="32"/>
          <w:lang w:val="en-US" w:eastAsia="zh-CN"/>
        </w:rPr>
        <w:t>等证据材料，调查全过程使用执法记录仪摄像记录。</w:t>
      </w:r>
    </w:p>
    <w:p w14:paraId="7D0FE4A4">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color w:val="auto"/>
          <w:spacing w:val="0"/>
          <w:sz w:val="32"/>
          <w:szCs w:val="32"/>
          <w:highlight w:val="none"/>
          <w:lang w:val="en-US" w:eastAsia="zh-CN"/>
        </w:rPr>
        <w:t>经查，</w:t>
      </w:r>
      <w:r>
        <w:rPr>
          <w:rFonts w:hint="default" w:ascii="Times New Roman" w:hAnsi="Times New Roman" w:eastAsia="仿宋_GB2312" w:cs="Times New Roman"/>
          <w:snapToGrid/>
          <w:color w:val="auto"/>
          <w:spacing w:val="0"/>
          <w:kern w:val="0"/>
          <w:sz w:val="32"/>
          <w:szCs w:val="32"/>
          <w:lang w:val="en-US" w:eastAsia="zh-CN"/>
        </w:rPr>
        <w:t>当事人于2023年</w:t>
      </w:r>
      <w:r>
        <w:rPr>
          <w:rFonts w:hint="eastAsia" w:ascii="Times New Roman" w:hAnsi="Times New Roman" w:eastAsia="仿宋_GB2312" w:cs="Times New Roman"/>
          <w:snapToGrid/>
          <w:color w:val="auto"/>
          <w:spacing w:val="0"/>
          <w:kern w:val="0"/>
          <w:sz w:val="32"/>
          <w:szCs w:val="32"/>
          <w:lang w:val="en-US" w:eastAsia="zh-CN"/>
        </w:rPr>
        <w:t>8</w:t>
      </w:r>
      <w:r>
        <w:rPr>
          <w:rFonts w:hint="default" w:ascii="Times New Roman" w:hAnsi="Times New Roman" w:eastAsia="仿宋_GB2312" w:cs="Times New Roman"/>
          <w:snapToGrid/>
          <w:color w:val="auto"/>
          <w:spacing w:val="0"/>
          <w:kern w:val="0"/>
          <w:sz w:val="32"/>
          <w:szCs w:val="32"/>
          <w:lang w:val="en-US" w:eastAsia="zh-CN"/>
        </w:rPr>
        <w:t>月</w:t>
      </w:r>
      <w:r>
        <w:rPr>
          <w:rFonts w:hint="eastAsia" w:ascii="Times New Roman" w:hAnsi="Times New Roman" w:eastAsia="仿宋_GB2312" w:cs="Times New Roman"/>
          <w:snapToGrid/>
          <w:color w:val="auto"/>
          <w:spacing w:val="0"/>
          <w:kern w:val="0"/>
          <w:sz w:val="32"/>
          <w:szCs w:val="32"/>
          <w:lang w:val="en-US" w:eastAsia="zh-CN"/>
        </w:rPr>
        <w:t>9</w:t>
      </w:r>
      <w:r>
        <w:rPr>
          <w:rFonts w:hint="default" w:ascii="Times New Roman" w:hAnsi="Times New Roman" w:eastAsia="仿宋_GB2312" w:cs="Times New Roman"/>
          <w:snapToGrid/>
          <w:color w:val="auto"/>
          <w:spacing w:val="0"/>
          <w:kern w:val="0"/>
          <w:sz w:val="32"/>
          <w:szCs w:val="32"/>
          <w:lang w:val="en-US" w:eastAsia="zh-CN"/>
        </w:rPr>
        <w:t>日</w:t>
      </w:r>
      <w:r>
        <w:rPr>
          <w:rFonts w:hint="eastAsia" w:ascii="Times New Roman" w:hAnsi="Times New Roman" w:eastAsia="仿宋_GB2312" w:cs="Times New Roman"/>
          <w:snapToGrid/>
          <w:color w:val="auto"/>
          <w:spacing w:val="0"/>
          <w:kern w:val="0"/>
          <w:sz w:val="32"/>
          <w:szCs w:val="32"/>
          <w:lang w:val="en-US" w:eastAsia="zh-CN"/>
        </w:rPr>
        <w:t>成立</w:t>
      </w:r>
      <w:r>
        <w:rPr>
          <w:rFonts w:hint="default" w:ascii="Times New Roman" w:hAnsi="Times New Roman" w:eastAsia="仿宋_GB2312" w:cs="Times New Roman"/>
          <w:snapToGrid/>
          <w:color w:val="auto"/>
          <w:spacing w:val="0"/>
          <w:kern w:val="0"/>
          <w:sz w:val="32"/>
          <w:szCs w:val="32"/>
          <w:lang w:val="en-US" w:eastAsia="zh-CN"/>
        </w:rPr>
        <w:t>，</w:t>
      </w:r>
      <w:r>
        <w:rPr>
          <w:rFonts w:hint="eastAsia" w:ascii="Times New Roman" w:hAnsi="Times New Roman" w:eastAsia="仿宋_GB2312" w:cs="Times New Roman"/>
          <w:snapToGrid/>
          <w:color w:val="auto"/>
          <w:spacing w:val="0"/>
          <w:kern w:val="0"/>
          <w:sz w:val="32"/>
          <w:szCs w:val="32"/>
          <w:lang w:val="en-US" w:eastAsia="zh-CN"/>
        </w:rPr>
        <w:t>类型：有限责任公司（自然人投资或控股）。法定代表人：谢明洪</w:t>
      </w:r>
      <w:r>
        <w:rPr>
          <w:rFonts w:hint="default" w:ascii="Times New Roman" w:hAnsi="Times New Roman" w:eastAsia="仿宋_GB2312" w:cs="Times New Roman"/>
          <w:snapToGrid/>
          <w:color w:val="auto"/>
          <w:spacing w:val="0"/>
          <w:kern w:val="0"/>
          <w:sz w:val="32"/>
          <w:szCs w:val="32"/>
          <w:lang w:val="en-US" w:eastAsia="zh-CN"/>
        </w:rPr>
        <w:t>。</w:t>
      </w:r>
      <w:r>
        <w:rPr>
          <w:rFonts w:hint="eastAsia" w:ascii="Times New Roman" w:hAnsi="Times New Roman" w:eastAsia="仿宋_GB2312" w:cs="Times New Roman"/>
          <w:snapToGrid/>
          <w:color w:val="auto"/>
          <w:spacing w:val="0"/>
          <w:kern w:val="0"/>
          <w:sz w:val="32"/>
          <w:szCs w:val="32"/>
          <w:lang w:val="en-US" w:eastAsia="zh-CN"/>
        </w:rPr>
        <w:t>经营范围：殡葬服务；殡葬设施经营；殡仪用品销售；礼仪服务（依法须经批准的项目，经相关部门批准后方可开展经营活动）</w:t>
      </w:r>
      <w:r>
        <w:rPr>
          <w:rFonts w:hint="default" w:ascii="Times New Roman" w:hAnsi="Times New Roman" w:eastAsia="仿宋_GB2312" w:cs="Times New Roman"/>
          <w:color w:val="auto"/>
          <w:spacing w:val="0"/>
          <w:sz w:val="32"/>
          <w:szCs w:val="32"/>
          <w:highlight w:val="none"/>
          <w:lang w:val="en-US" w:eastAsia="zh-CN"/>
        </w:rPr>
        <w:t>。</w:t>
      </w:r>
    </w:p>
    <w:p w14:paraId="4982EB01">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3" w:firstLineChars="200"/>
        <w:jc w:val="both"/>
        <w:textAlignment w:val="auto"/>
        <w:rPr>
          <w:rFonts w:hint="default" w:ascii="Times New Roman" w:hAnsi="Times New Roman" w:eastAsia="仿宋_GB2312" w:cs="Times New Roman"/>
          <w:b/>
          <w:bCs/>
          <w:snapToGrid/>
          <w:color w:val="auto"/>
          <w:spacing w:val="0"/>
          <w:kern w:val="0"/>
          <w:sz w:val="32"/>
          <w:szCs w:val="32"/>
          <w:highlight w:val="none"/>
          <w:lang w:val="en-US" w:eastAsia="zh-CN"/>
        </w:rPr>
      </w:pPr>
      <w:r>
        <w:rPr>
          <w:rFonts w:hint="eastAsia" w:ascii="Times New Roman" w:hAnsi="Times New Roman" w:eastAsia="仿宋_GB2312" w:cs="Times New Roman"/>
          <w:b/>
          <w:bCs/>
          <w:snapToGrid/>
          <w:color w:val="auto"/>
          <w:spacing w:val="0"/>
          <w:kern w:val="0"/>
          <w:sz w:val="32"/>
          <w:szCs w:val="32"/>
          <w:highlight w:val="none"/>
          <w:lang w:val="en-US" w:eastAsia="zh-CN"/>
        </w:rPr>
        <w:t>一、当事人不执行政府定价重复收费的违法事实</w:t>
      </w:r>
    </w:p>
    <w:p w14:paraId="406F2B9F">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经查，新疆维吾尔自治区发展改革委等部门印发的《新疆维吾尔自治区殡葬服务收费管理办法》（新发改规〔2024〕9号）第四条——（一）殡仪服务收费规定“……基本服务包括遗体接运（含抬尸、消毒）、遗体存放（含冷藏）、遗体火化（含骨灰清理、包装）、骨灰寄存、遗体清洗、墓穴挖坑等6项，基本服务收费实行政府定价或政府指导价……”，捡骨灰服务属于遗体火化的基本服务内容，当事人收取遗体火化费，不得重复收取捡骨灰费。当事人收取捡骨灰费300元/具。</w:t>
      </w:r>
    </w:p>
    <w:p w14:paraId="3512B777">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经查，当事人重复收取捡骨灰费的情况如下：</w:t>
      </w:r>
    </w:p>
    <w:p w14:paraId="5DFCB6F8">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1.2025年1月16日，当事人向死者姓名为史某丧属收取捡骨灰费用1具300元，违法所得300元；</w:t>
      </w:r>
    </w:p>
    <w:p w14:paraId="41213ECB">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2.2025年3月10日，当事人向死者姓名为朱某丧属收取捡骨灰费用1具300元，违法所得300元；</w:t>
      </w:r>
    </w:p>
    <w:p w14:paraId="325C9638">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3.2025年3月22日，当事人向死者姓名为吴某丧属收取捡骨灰费用1具300元，违法所得300元；</w:t>
      </w:r>
    </w:p>
    <w:p w14:paraId="22FE592B">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4.2025年3月24日，当事人向死者姓名为于某丧属收取捡骨灰费用1具300元，违法所得300元；</w:t>
      </w:r>
    </w:p>
    <w:p w14:paraId="7657AF13">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5.2025年3月31日，当事人向死者姓名为翟某丧属收取捡骨灰费用1具300元，违法所得300元。</w:t>
      </w:r>
    </w:p>
    <w:p w14:paraId="4FD924BE">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16" w:firstLineChars="200"/>
        <w:jc w:val="both"/>
        <w:textAlignment w:val="auto"/>
        <w:rPr>
          <w:rFonts w:hint="default"/>
          <w:color w:val="auto"/>
          <w:spacing w:val="0"/>
          <w:lang w:val="en-US" w:eastAsia="zh-CN"/>
        </w:rPr>
      </w:pPr>
      <w:r>
        <w:rPr>
          <w:rFonts w:hint="eastAsia" w:ascii="Times New Roman" w:hAnsi="Times New Roman" w:eastAsia="仿宋_GB2312" w:cs="Times New Roman"/>
          <w:snapToGrid/>
          <w:color w:val="auto"/>
          <w:spacing w:val="-6"/>
          <w:kern w:val="0"/>
          <w:sz w:val="32"/>
          <w:szCs w:val="32"/>
          <w:highlight w:val="none"/>
          <w:lang w:val="en-US" w:eastAsia="zh-CN"/>
        </w:rPr>
        <w:t>综上，当事人重复收取捡骨灰费用共计1500元（5具*300元/具）</w:t>
      </w:r>
      <w:r>
        <w:rPr>
          <w:rFonts w:hint="eastAsia" w:ascii="Times New Roman" w:hAnsi="Times New Roman" w:eastAsia="仿宋_GB2312" w:cs="Times New Roman"/>
          <w:snapToGrid/>
          <w:color w:val="auto"/>
          <w:spacing w:val="0"/>
          <w:kern w:val="0"/>
          <w:sz w:val="32"/>
          <w:szCs w:val="32"/>
          <w:highlight w:val="none"/>
          <w:lang w:val="en-US" w:eastAsia="zh-CN"/>
        </w:rPr>
        <w:t>，违法所得1500元。</w:t>
      </w:r>
    </w:p>
    <w:p w14:paraId="1B2ABCA8">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3" w:firstLineChars="200"/>
        <w:jc w:val="both"/>
        <w:textAlignment w:val="auto"/>
        <w:rPr>
          <w:rFonts w:hint="default" w:ascii="Times New Roman" w:hAnsi="Times New Roman" w:eastAsia="仿宋_GB2312" w:cs="Times New Roman"/>
          <w:b/>
          <w:bCs/>
          <w:snapToGrid/>
          <w:color w:val="auto"/>
          <w:spacing w:val="0"/>
          <w:kern w:val="0"/>
          <w:sz w:val="32"/>
          <w:szCs w:val="32"/>
          <w:highlight w:val="none"/>
          <w:lang w:val="en-US" w:eastAsia="zh-CN"/>
        </w:rPr>
      </w:pPr>
      <w:r>
        <w:rPr>
          <w:rFonts w:hint="eastAsia" w:ascii="Times New Roman" w:hAnsi="Times New Roman" w:eastAsia="仿宋_GB2312" w:cs="Times New Roman"/>
          <w:b/>
          <w:bCs/>
          <w:snapToGrid/>
          <w:color w:val="auto"/>
          <w:spacing w:val="0"/>
          <w:kern w:val="0"/>
          <w:sz w:val="32"/>
          <w:szCs w:val="32"/>
          <w:highlight w:val="none"/>
          <w:lang w:val="en-US" w:eastAsia="zh-CN"/>
        </w:rPr>
        <w:t>二、当事人销售商品未按规定明码标价</w:t>
      </w:r>
      <w:r>
        <w:rPr>
          <w:rFonts w:hint="default" w:ascii="Times New Roman" w:hAnsi="Times New Roman" w:eastAsia="仿宋_GB2312" w:cs="Times New Roman"/>
          <w:b/>
          <w:bCs/>
          <w:snapToGrid/>
          <w:color w:val="auto"/>
          <w:spacing w:val="0"/>
          <w:kern w:val="0"/>
          <w:sz w:val="32"/>
          <w:szCs w:val="32"/>
          <w:highlight w:val="none"/>
          <w:lang w:val="en-US" w:eastAsia="zh-CN"/>
        </w:rPr>
        <w:t>的违法</w:t>
      </w:r>
      <w:r>
        <w:rPr>
          <w:rFonts w:hint="eastAsia" w:ascii="Times New Roman" w:hAnsi="Times New Roman" w:eastAsia="仿宋_GB2312" w:cs="Times New Roman"/>
          <w:b/>
          <w:bCs/>
          <w:snapToGrid/>
          <w:color w:val="auto"/>
          <w:spacing w:val="0"/>
          <w:kern w:val="0"/>
          <w:sz w:val="32"/>
          <w:szCs w:val="32"/>
          <w:highlight w:val="none"/>
          <w:lang w:val="en-US" w:eastAsia="zh-CN"/>
        </w:rPr>
        <w:t>事实</w:t>
      </w:r>
    </w:p>
    <w:p w14:paraId="4E923ABD">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yellow"/>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经查，</w:t>
      </w:r>
      <w:r>
        <w:rPr>
          <w:rFonts w:hint="eastAsia" w:ascii="Times New Roman" w:hAnsi="Times New Roman" w:eastAsia="仿宋_GB2312" w:cs="Times New Roman"/>
          <w:snapToGrid/>
          <w:color w:val="auto"/>
          <w:spacing w:val="0"/>
          <w:kern w:val="0"/>
          <w:sz w:val="32"/>
          <w:szCs w:val="32"/>
          <w:highlight w:val="none"/>
          <w:lang w:val="en-US" w:eastAsia="zh-CN"/>
        </w:rPr>
        <w:t>《昆玉市怀恩殡仪馆服务收费清单》中的灵牌、长明灯、纸盘子、酒、登记本（礼金簿）、洗漱用品、防潮盒、幡、冥币、杂粮罐、福寿字、铜钱、撒路钱、盖盖板、砖坑迁坟、土坑迁坟、开棺捡骨、土坑回填土、恢复原状等13种商品和6种服务项目当事人未按规定明码标价，其中灵牌、长明灯、登记本（礼金簿）、铜钱、撒路钱、幡等6种商品有销售记录，其他商品和服务项目没有销售记录，当事人称其他商品和服务项目没有开展过，因未查询到销售记录，我局对当事人的说法予以采信</w:t>
      </w:r>
      <w:r>
        <w:rPr>
          <w:rFonts w:hint="default" w:ascii="Times New Roman" w:hAnsi="Times New Roman" w:eastAsia="仿宋_GB2312" w:cs="Times New Roman"/>
          <w:snapToGrid/>
          <w:color w:val="auto"/>
          <w:spacing w:val="0"/>
          <w:kern w:val="0"/>
          <w:sz w:val="32"/>
          <w:szCs w:val="32"/>
          <w:highlight w:val="none"/>
          <w:lang w:val="en-US" w:eastAsia="zh-CN"/>
        </w:rPr>
        <w:t>。</w:t>
      </w:r>
    </w:p>
    <w:p w14:paraId="2D14E97A">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经查，当事人</w:t>
      </w:r>
      <w:r>
        <w:rPr>
          <w:rFonts w:hint="eastAsia" w:ascii="Times New Roman" w:hAnsi="Times New Roman" w:eastAsia="仿宋_GB2312" w:cs="Times New Roman"/>
          <w:snapToGrid/>
          <w:color w:val="auto"/>
          <w:spacing w:val="0"/>
          <w:kern w:val="0"/>
          <w:sz w:val="32"/>
          <w:szCs w:val="32"/>
          <w:highlight w:val="none"/>
          <w:lang w:val="en-US" w:eastAsia="zh-CN"/>
        </w:rPr>
        <w:t>销售的上述6种商品是2024年初从河北雄县米家务镇福山殡葬用品厂采购。灵牌进价23元/个，售价30元/个；长明灯进价22元/个，销售价30元/个；登记本（礼金簿）进价21元/个，销售价30元/个；铜钱进价23元/串（23元/串÷10个/串=2.3元/个），销售价3元/个；撒路钱进价2元/包，销售价3元/包；幡进价60元/个，销售价70元/个。上述6种商品当事人可以提供供货者的营业执照，灵牌、长明灯、登记本（礼金簿）、铜钱等4种商品可以提供采购物品清单和电子发票，撒路钱、幡2种商品无法提供采购物品清单和电子发票。</w:t>
      </w:r>
    </w:p>
    <w:p w14:paraId="79F927A4">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经查，当事人销售商品和提供服务未按规定明码标价收费情况如下：</w:t>
      </w:r>
    </w:p>
    <w:p w14:paraId="34C5BD75">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1.2025年1月16日，当事人向死者姓名为史某丧属销售长明灯1个30元，灵牌1个30元，未明码标价收取费用共计60元（30元+30元），违法所得60元；</w:t>
      </w:r>
    </w:p>
    <w:p w14:paraId="65888EAA">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2.2025年2月16日，当事人向死者姓名为杨某丧属销售长明灯1个30元，灵牌1个30元，登记本（礼金簿）1个30元，未明码标价收取费用共计90元（30元+30元+30元），违法所得90元；</w:t>
      </w:r>
    </w:p>
    <w:p w14:paraId="6CC1F8DD">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3.2025年3月23日，当事人向死者姓名为肖某丧属销售灵牌1个30元，登记本（礼金簿）2个60元，幡1个70元，铜钱7个21元，撒路钱10包30元，未明码标价收取费用共计211元（30元+60元+70元+21元+30元），违法所得211元；</w:t>
      </w:r>
    </w:p>
    <w:p w14:paraId="08A457DF">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4.2025年3月31日，当事人向死者姓名为翟某销售登记本（礼金簿）30元，未明码标价收取费用30元，违法所得30元。</w:t>
      </w:r>
    </w:p>
    <w:p w14:paraId="1780B23F">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综上，当事人销售商品未按规定明码标价收取费用共计391元（60元+90元+211元+30元），违法所得391元。</w:t>
      </w:r>
    </w:p>
    <w:p w14:paraId="40A06ABF">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3" w:firstLineChars="200"/>
        <w:jc w:val="both"/>
        <w:textAlignment w:val="auto"/>
        <w:rPr>
          <w:rFonts w:hint="default" w:ascii="Times New Roman" w:hAnsi="Times New Roman" w:eastAsia="仿宋_GB2312" w:cs="Times New Roman"/>
          <w:b/>
          <w:bCs/>
          <w:snapToGrid/>
          <w:color w:val="auto"/>
          <w:spacing w:val="0"/>
          <w:kern w:val="0"/>
          <w:sz w:val="32"/>
          <w:szCs w:val="32"/>
          <w:highlight w:val="none"/>
          <w:lang w:val="en-US" w:eastAsia="zh-CN"/>
        </w:rPr>
      </w:pPr>
      <w:r>
        <w:rPr>
          <w:rFonts w:hint="eastAsia" w:ascii="Times New Roman" w:hAnsi="Times New Roman" w:eastAsia="仿宋_GB2312" w:cs="Times New Roman"/>
          <w:b/>
          <w:bCs/>
          <w:snapToGrid/>
          <w:color w:val="auto"/>
          <w:spacing w:val="0"/>
          <w:kern w:val="0"/>
          <w:sz w:val="32"/>
          <w:szCs w:val="32"/>
          <w:highlight w:val="none"/>
          <w:lang w:val="en-US" w:eastAsia="zh-CN"/>
        </w:rPr>
        <w:t>三、当事人</w:t>
      </w:r>
      <w:r>
        <w:rPr>
          <w:rFonts w:hint="default" w:ascii="Times New Roman" w:hAnsi="Times New Roman" w:eastAsia="仿宋_GB2312" w:cs="Times New Roman"/>
          <w:b/>
          <w:bCs/>
          <w:snapToGrid/>
          <w:color w:val="auto"/>
          <w:spacing w:val="0"/>
          <w:kern w:val="0"/>
          <w:sz w:val="32"/>
          <w:szCs w:val="32"/>
          <w:lang w:val="en-US" w:eastAsia="zh-CN"/>
        </w:rPr>
        <w:t>在标价之外加价出售商品</w:t>
      </w:r>
      <w:r>
        <w:rPr>
          <w:rFonts w:hint="eastAsia" w:ascii="Times New Roman" w:hAnsi="Times New Roman" w:eastAsia="仿宋_GB2312" w:cs="Times New Roman"/>
          <w:b/>
          <w:bCs/>
          <w:snapToGrid/>
          <w:color w:val="auto"/>
          <w:spacing w:val="0"/>
          <w:kern w:val="0"/>
          <w:sz w:val="32"/>
          <w:szCs w:val="32"/>
          <w:lang w:val="en-US" w:eastAsia="zh-CN"/>
        </w:rPr>
        <w:t>的违法事实</w:t>
      </w:r>
    </w:p>
    <w:p w14:paraId="71F29430">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color w:val="auto"/>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经查，</w:t>
      </w:r>
      <w:r>
        <w:rPr>
          <w:rFonts w:hint="eastAsia" w:ascii="Times New Roman" w:hAnsi="Times New Roman" w:eastAsia="仿宋_GB2312" w:cs="Times New Roman"/>
          <w:snapToGrid/>
          <w:color w:val="auto"/>
          <w:spacing w:val="0"/>
          <w:kern w:val="0"/>
          <w:sz w:val="32"/>
          <w:szCs w:val="32"/>
          <w:highlight w:val="none"/>
          <w:lang w:val="en-US" w:eastAsia="zh-CN"/>
        </w:rPr>
        <w:t>当事人的《昆玉市怀恩殡仪馆价格表》公示的小白花价格为0.2元/朵，有2份《昆玉市怀恩殡仪馆服务收费清单》显示小白花收费价格0.5元/朵，每朵多收取0.3元</w:t>
      </w:r>
      <w:r>
        <w:rPr>
          <w:rFonts w:hint="default" w:ascii="Times New Roman" w:hAnsi="Times New Roman" w:eastAsia="仿宋_GB2312" w:cs="Times New Roman"/>
          <w:snapToGrid/>
          <w:color w:val="auto"/>
          <w:spacing w:val="0"/>
          <w:kern w:val="0"/>
          <w:sz w:val="32"/>
          <w:szCs w:val="32"/>
          <w:highlight w:val="none"/>
          <w:lang w:val="en-US" w:eastAsia="zh-CN"/>
        </w:rPr>
        <w:t>。</w:t>
      </w:r>
    </w:p>
    <w:p w14:paraId="36DE33DC">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snapToGrid/>
          <w:color w:val="auto"/>
          <w:spacing w:val="0"/>
          <w:kern w:val="0"/>
          <w:sz w:val="32"/>
          <w:szCs w:val="32"/>
          <w:highlight w:val="none"/>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经查，</w:t>
      </w:r>
      <w:r>
        <w:rPr>
          <w:rFonts w:hint="eastAsia" w:ascii="Times New Roman" w:hAnsi="Times New Roman" w:eastAsia="仿宋_GB2312" w:cs="Times New Roman"/>
          <w:snapToGrid/>
          <w:color w:val="auto"/>
          <w:spacing w:val="0"/>
          <w:kern w:val="0"/>
          <w:sz w:val="32"/>
          <w:szCs w:val="32"/>
          <w:highlight w:val="none"/>
          <w:lang w:val="en-US" w:eastAsia="zh-CN"/>
        </w:rPr>
        <w:t>当事人销售的盖布包括骨灰盒盖布、骨灰袋、骨灰盒包布3项，《昆玉市怀恩殡仪馆价格表》公示价格为骨灰盒盖布20元/个，骨灰袋8元/个，骨灰盒包布8元/个，共计36元/套，有5份《昆玉市怀恩殡仪馆服务收费清单》显示盖布收费价格为50元/套，每套多收取14元。</w:t>
      </w:r>
    </w:p>
    <w:p w14:paraId="6D55B507">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经查，当事人</w:t>
      </w:r>
      <w:r>
        <w:rPr>
          <w:rFonts w:hint="default" w:ascii="Times New Roman" w:hAnsi="Times New Roman" w:eastAsia="仿宋_GB2312" w:cs="Times New Roman"/>
          <w:snapToGrid/>
          <w:color w:val="auto"/>
          <w:spacing w:val="0"/>
          <w:kern w:val="0"/>
          <w:sz w:val="32"/>
          <w:szCs w:val="32"/>
          <w:lang w:val="en-US" w:eastAsia="zh-CN"/>
        </w:rPr>
        <w:t>在标价之外加价出售商品</w:t>
      </w:r>
      <w:r>
        <w:rPr>
          <w:rFonts w:hint="eastAsia" w:ascii="Times New Roman" w:hAnsi="Times New Roman" w:eastAsia="仿宋_GB2312" w:cs="Times New Roman"/>
          <w:snapToGrid/>
          <w:color w:val="auto"/>
          <w:spacing w:val="0"/>
          <w:kern w:val="0"/>
          <w:sz w:val="32"/>
          <w:szCs w:val="32"/>
          <w:highlight w:val="none"/>
          <w:lang w:val="en-US" w:eastAsia="zh-CN"/>
        </w:rPr>
        <w:t>收费情况如下：</w:t>
      </w:r>
    </w:p>
    <w:p w14:paraId="314D0A1B">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1.2025年3月10日，当事人销售给死者姓名为朱某丧属盖布1套，收取费用50元/套，多收取14元，违法所得14元；</w:t>
      </w:r>
    </w:p>
    <w:p w14:paraId="30FDD1B6">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2.2025年3月22日，当事人销售给死者姓名为吴某丧属盖布1套，收取费用50元/套，多收取14元，违法所得14元；</w:t>
      </w:r>
    </w:p>
    <w:p w14:paraId="784B2EC7">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3.2025年3月23日，当事人销售给死者姓名为肖某丧属小白花100朵，收取费用50元（0.5元/朵×100朵），多收取30元（0.3元/朵×100朵）元；销售盖布1套，收取费用50元/套，多收取14元。共计多收取44元（30元+14元），违法所得44元。</w:t>
      </w:r>
    </w:p>
    <w:p w14:paraId="0BBC98B8">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4.2025年3月24日，当事人销售给死者姓名为于某丧属盖布1套，收取费用50元/套，多收取14元，违法所得14元；</w:t>
      </w:r>
    </w:p>
    <w:p w14:paraId="571EFA15">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5.2025年3月29日，当事人销售给死者姓名为苏某小白花80朵，收取费用40元（0.5元/朵×80朵）元，多收取24元（0.3元/朵×80朵），违法所得24元；</w:t>
      </w:r>
    </w:p>
    <w:p w14:paraId="1DBE3CB8">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6.2025年3月31日，当事人销售给死者姓名为翟某盖布1套，收取费用50元/套，多收取14元，违法所得14元。</w:t>
      </w:r>
    </w:p>
    <w:p w14:paraId="412D9BCF">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综上，当事人</w:t>
      </w:r>
      <w:r>
        <w:rPr>
          <w:rFonts w:hint="default" w:ascii="Times New Roman" w:hAnsi="Times New Roman" w:eastAsia="仿宋_GB2312" w:cs="Times New Roman"/>
          <w:snapToGrid/>
          <w:color w:val="auto"/>
          <w:spacing w:val="0"/>
          <w:kern w:val="0"/>
          <w:sz w:val="32"/>
          <w:szCs w:val="32"/>
          <w:lang w:val="en-US" w:eastAsia="zh-CN"/>
        </w:rPr>
        <w:t>在标价之外加价出售商品</w:t>
      </w:r>
      <w:r>
        <w:rPr>
          <w:rFonts w:hint="eastAsia" w:ascii="Times New Roman" w:hAnsi="Times New Roman" w:eastAsia="仿宋_GB2312" w:cs="Times New Roman"/>
          <w:snapToGrid/>
          <w:color w:val="auto"/>
          <w:spacing w:val="0"/>
          <w:kern w:val="0"/>
          <w:sz w:val="32"/>
          <w:szCs w:val="32"/>
          <w:highlight w:val="none"/>
          <w:lang w:val="en-US" w:eastAsia="zh-CN"/>
        </w:rPr>
        <w:t>多收取费用共计124元（14元+14元+44元+14元+24元+14元），违法所得124元（14元+14元+44元+14元+24元+14元）。</w:t>
      </w:r>
    </w:p>
    <w:p w14:paraId="385E2C80">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经查，2025年4月24日，当事人向我局提供微信退款转账凭证截图9份，已全部退还未明码标价收取费用、重复收取捡骨灰费用和</w:t>
      </w:r>
      <w:r>
        <w:rPr>
          <w:rFonts w:hint="default" w:ascii="Times New Roman" w:hAnsi="Times New Roman" w:eastAsia="仿宋_GB2312" w:cs="Times New Roman"/>
          <w:snapToGrid/>
          <w:color w:val="auto"/>
          <w:spacing w:val="0"/>
          <w:kern w:val="0"/>
          <w:sz w:val="32"/>
          <w:szCs w:val="32"/>
          <w:lang w:val="en-US" w:eastAsia="zh-CN"/>
        </w:rPr>
        <w:t>在标价之外加价出售商品</w:t>
      </w:r>
      <w:r>
        <w:rPr>
          <w:rFonts w:hint="eastAsia" w:ascii="Times New Roman" w:hAnsi="Times New Roman" w:eastAsia="仿宋_GB2312" w:cs="Times New Roman"/>
          <w:snapToGrid/>
          <w:color w:val="auto"/>
          <w:spacing w:val="0"/>
          <w:kern w:val="0"/>
          <w:sz w:val="32"/>
          <w:szCs w:val="32"/>
          <w:highlight w:val="none"/>
          <w:lang w:val="en-US" w:eastAsia="zh-CN"/>
        </w:rPr>
        <w:t>多收取费用共计2015元（1500元+391元+124元），故当事人多收价款和违法所得已全部退还给丧属。</w:t>
      </w:r>
    </w:p>
    <w:p w14:paraId="54525591">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经查，2025年2月28日，我局对当事人开展专项检查时，发现当事人收取挖坑费、占地费时未执行政府定价，由于违法行为轻微且主动退还多收取丧属的费用，当事人积极整改未造成危害后果和社会影响，给予不予立案处理。</w:t>
      </w:r>
    </w:p>
    <w:p w14:paraId="188E1711">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本案对照</w:t>
      </w:r>
      <w:r>
        <w:rPr>
          <w:rFonts w:hint="eastAsia" w:ascii="Times New Roman" w:hAnsi="Times New Roman" w:eastAsia="仿宋_GB2312" w:cs="Times New Roman"/>
          <w:snapToGrid/>
          <w:color w:val="auto"/>
          <w:spacing w:val="0"/>
          <w:kern w:val="0"/>
          <w:sz w:val="32"/>
          <w:szCs w:val="32"/>
          <w:highlight w:val="none"/>
          <w:lang w:val="en-US" w:eastAsia="zh-CN"/>
        </w:rPr>
        <w:t>《中华人民共和国刑法》</w:t>
      </w:r>
      <w:r>
        <w:rPr>
          <w:rFonts w:hint="default" w:ascii="Times New Roman" w:hAnsi="Times New Roman" w:eastAsia="仿宋_GB2312" w:cs="Times New Roman"/>
          <w:snapToGrid/>
          <w:color w:val="auto"/>
          <w:spacing w:val="0"/>
          <w:kern w:val="0"/>
          <w:sz w:val="32"/>
          <w:szCs w:val="32"/>
          <w:highlight w:val="none"/>
          <w:lang w:val="en-US" w:eastAsia="zh-CN"/>
        </w:rPr>
        <w:t>，当事人的违法行为不构成移送追诉当事人刑事责任的条件。</w:t>
      </w:r>
    </w:p>
    <w:p w14:paraId="6D2FDE30">
      <w:pPr>
        <w:keepNext w:val="0"/>
        <w:keepLines w:val="0"/>
        <w:pageBreakBefore w:val="0"/>
        <w:widowControl w:val="0"/>
        <w:kinsoku/>
        <w:wordWrap/>
        <w:overflowPunct/>
        <w:topLinePunct/>
        <w:autoSpaceDE w:val="0"/>
        <w:autoSpaceDN/>
        <w:bidi w:val="0"/>
        <w:adjustRightInd/>
        <w:snapToGrid/>
        <w:spacing w:line="560" w:lineRule="exact"/>
        <w:ind w:firstLine="639" w:firstLineChars="200"/>
        <w:jc w:val="both"/>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r>
        <w:rPr>
          <w:rFonts w:hint="eastAsia" w:ascii="Times New Roman" w:hAnsi="Times New Roman" w:eastAsia="仿宋_GB2312" w:cs="Times New Roman"/>
          <w:b/>
          <w:bCs/>
          <w:color w:val="auto"/>
          <w:spacing w:val="-1"/>
          <w:sz w:val="32"/>
          <w:szCs w:val="32"/>
          <w:highlight w:val="none"/>
          <w:lang w:val="en-US" w:eastAsia="zh-CN"/>
        </w:rPr>
        <w:t>：</w:t>
      </w:r>
    </w:p>
    <w:p w14:paraId="331D5A75">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1.2025年</w:t>
      </w:r>
      <w:r>
        <w:rPr>
          <w:rFonts w:hint="eastAsia" w:ascii="Times New Roman" w:hAnsi="Times New Roman" w:eastAsia="仿宋_GB2312" w:cs="Times New Roman"/>
          <w:snapToGrid/>
          <w:color w:val="auto"/>
          <w:spacing w:val="0"/>
          <w:kern w:val="0"/>
          <w:sz w:val="32"/>
          <w:szCs w:val="32"/>
          <w:highlight w:val="none"/>
          <w:lang w:val="en-US" w:eastAsia="zh-CN"/>
        </w:rPr>
        <w:t>4</w:t>
      </w:r>
      <w:r>
        <w:rPr>
          <w:rFonts w:hint="default" w:ascii="Times New Roman" w:hAnsi="Times New Roman" w:eastAsia="仿宋_GB2312" w:cs="Times New Roman"/>
          <w:snapToGrid/>
          <w:color w:val="auto"/>
          <w:spacing w:val="0"/>
          <w:kern w:val="0"/>
          <w:sz w:val="32"/>
          <w:szCs w:val="32"/>
          <w:highlight w:val="none"/>
          <w:lang w:val="en-US" w:eastAsia="zh-CN"/>
        </w:rPr>
        <w:t>月2</w:t>
      </w:r>
      <w:r>
        <w:rPr>
          <w:rFonts w:hint="eastAsia" w:ascii="Times New Roman" w:hAnsi="Times New Roman" w:eastAsia="仿宋_GB2312" w:cs="Times New Roman"/>
          <w:snapToGrid/>
          <w:color w:val="auto"/>
          <w:spacing w:val="0"/>
          <w:kern w:val="0"/>
          <w:sz w:val="32"/>
          <w:szCs w:val="32"/>
          <w:highlight w:val="none"/>
          <w:lang w:val="en-US" w:eastAsia="zh-CN"/>
        </w:rPr>
        <w:t>4</w:t>
      </w:r>
      <w:r>
        <w:rPr>
          <w:rFonts w:hint="default" w:ascii="Times New Roman" w:hAnsi="Times New Roman" w:eastAsia="仿宋_GB2312" w:cs="Times New Roman"/>
          <w:snapToGrid/>
          <w:color w:val="auto"/>
          <w:spacing w:val="0"/>
          <w:kern w:val="0"/>
          <w:sz w:val="32"/>
          <w:szCs w:val="32"/>
          <w:highlight w:val="none"/>
          <w:lang w:val="en-US" w:eastAsia="zh-CN"/>
        </w:rPr>
        <w:t>日，我局执法人员依法提取当事人</w:t>
      </w:r>
      <w:r>
        <w:rPr>
          <w:rFonts w:hint="eastAsia" w:ascii="Times New Roman" w:hAnsi="Times New Roman" w:eastAsia="仿宋_GB2312" w:cs="Times New Roman"/>
          <w:snapToGrid/>
          <w:color w:val="auto"/>
          <w:spacing w:val="0"/>
          <w:kern w:val="0"/>
          <w:sz w:val="32"/>
          <w:szCs w:val="32"/>
          <w:highlight w:val="none"/>
          <w:lang w:val="en-US" w:eastAsia="zh-CN"/>
        </w:rPr>
        <w:t>营业执照复印件</w:t>
      </w:r>
      <w:r>
        <w:rPr>
          <w:rFonts w:hint="default" w:ascii="Times New Roman" w:hAnsi="Times New Roman" w:eastAsia="仿宋_GB2312" w:cs="Times New Roman"/>
          <w:snapToGrid/>
          <w:color w:val="auto"/>
          <w:spacing w:val="0"/>
          <w:kern w:val="0"/>
          <w:sz w:val="32"/>
          <w:szCs w:val="32"/>
          <w:highlight w:val="none"/>
          <w:lang w:val="en-US" w:eastAsia="zh-CN"/>
        </w:rPr>
        <w:t>1份，证明当事人的主体资质</w:t>
      </w:r>
      <w:r>
        <w:rPr>
          <w:rFonts w:hint="eastAsia" w:ascii="Times New Roman" w:hAnsi="Times New Roman" w:eastAsia="仿宋_GB2312" w:cs="Times New Roman"/>
          <w:snapToGrid/>
          <w:color w:val="auto"/>
          <w:spacing w:val="0"/>
          <w:kern w:val="0"/>
          <w:sz w:val="32"/>
          <w:szCs w:val="32"/>
          <w:highlight w:val="none"/>
          <w:lang w:val="en-US" w:eastAsia="zh-CN"/>
        </w:rPr>
        <w:t>资格</w:t>
      </w:r>
      <w:r>
        <w:rPr>
          <w:rFonts w:hint="default" w:ascii="Times New Roman" w:hAnsi="Times New Roman" w:eastAsia="仿宋_GB2312" w:cs="Times New Roman"/>
          <w:snapToGrid/>
          <w:color w:val="auto"/>
          <w:spacing w:val="0"/>
          <w:kern w:val="0"/>
          <w:sz w:val="32"/>
          <w:szCs w:val="32"/>
          <w:highlight w:val="none"/>
          <w:lang w:val="en-US" w:eastAsia="zh-CN"/>
        </w:rPr>
        <w:t>；</w:t>
      </w:r>
    </w:p>
    <w:p w14:paraId="5E12FA3B">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2.2025年</w:t>
      </w:r>
      <w:r>
        <w:rPr>
          <w:rFonts w:hint="eastAsia" w:ascii="Times New Roman" w:hAnsi="Times New Roman" w:eastAsia="仿宋_GB2312" w:cs="Times New Roman"/>
          <w:snapToGrid/>
          <w:color w:val="auto"/>
          <w:spacing w:val="0"/>
          <w:kern w:val="0"/>
          <w:sz w:val="32"/>
          <w:szCs w:val="32"/>
          <w:highlight w:val="none"/>
          <w:lang w:val="en-US" w:eastAsia="zh-CN"/>
        </w:rPr>
        <w:t>4</w:t>
      </w:r>
      <w:r>
        <w:rPr>
          <w:rFonts w:hint="default" w:ascii="Times New Roman" w:hAnsi="Times New Roman" w:eastAsia="仿宋_GB2312" w:cs="Times New Roman"/>
          <w:snapToGrid/>
          <w:color w:val="auto"/>
          <w:spacing w:val="0"/>
          <w:kern w:val="0"/>
          <w:sz w:val="32"/>
          <w:szCs w:val="32"/>
          <w:highlight w:val="none"/>
          <w:lang w:val="en-US" w:eastAsia="zh-CN"/>
        </w:rPr>
        <w:t>月2</w:t>
      </w:r>
      <w:r>
        <w:rPr>
          <w:rFonts w:hint="eastAsia" w:ascii="Times New Roman" w:hAnsi="Times New Roman" w:eastAsia="仿宋_GB2312" w:cs="Times New Roman"/>
          <w:snapToGrid/>
          <w:color w:val="auto"/>
          <w:spacing w:val="0"/>
          <w:kern w:val="0"/>
          <w:sz w:val="32"/>
          <w:szCs w:val="32"/>
          <w:highlight w:val="none"/>
          <w:lang w:val="en-US" w:eastAsia="zh-CN"/>
        </w:rPr>
        <w:t>4</w:t>
      </w:r>
      <w:r>
        <w:rPr>
          <w:rFonts w:hint="default" w:ascii="Times New Roman" w:hAnsi="Times New Roman" w:eastAsia="仿宋_GB2312" w:cs="Times New Roman"/>
          <w:snapToGrid/>
          <w:color w:val="auto"/>
          <w:spacing w:val="0"/>
          <w:kern w:val="0"/>
          <w:sz w:val="32"/>
          <w:szCs w:val="32"/>
          <w:highlight w:val="none"/>
          <w:lang w:val="en-US" w:eastAsia="zh-CN"/>
        </w:rPr>
        <w:t>日，我局执法人员依法提取当事人法定代表人（</w:t>
      </w:r>
      <w:r>
        <w:rPr>
          <w:rFonts w:hint="eastAsia" w:ascii="Times New Roman" w:hAnsi="Times New Roman" w:eastAsia="仿宋_GB2312" w:cs="Times New Roman"/>
          <w:snapToGrid/>
          <w:color w:val="auto"/>
          <w:spacing w:val="0"/>
          <w:kern w:val="0"/>
          <w:sz w:val="32"/>
          <w:szCs w:val="32"/>
          <w:highlight w:val="none"/>
          <w:lang w:val="en-US" w:eastAsia="zh-CN"/>
        </w:rPr>
        <w:t>谢明洪</w:t>
      </w:r>
      <w:r>
        <w:rPr>
          <w:rFonts w:hint="default" w:ascii="Times New Roman" w:hAnsi="Times New Roman" w:eastAsia="仿宋_GB2312" w:cs="Times New Roman"/>
          <w:snapToGrid/>
          <w:color w:val="auto"/>
          <w:spacing w:val="0"/>
          <w:kern w:val="0"/>
          <w:sz w:val="32"/>
          <w:szCs w:val="32"/>
          <w:highlight w:val="none"/>
          <w:lang w:val="en-US" w:eastAsia="zh-CN"/>
        </w:rPr>
        <w:t>）身份证复印件1份，证明当事人法定代表人（</w:t>
      </w:r>
      <w:r>
        <w:rPr>
          <w:rFonts w:hint="eastAsia" w:ascii="Times New Roman" w:hAnsi="Times New Roman" w:eastAsia="仿宋_GB2312" w:cs="Times New Roman"/>
          <w:snapToGrid/>
          <w:color w:val="auto"/>
          <w:spacing w:val="0"/>
          <w:kern w:val="0"/>
          <w:sz w:val="32"/>
          <w:szCs w:val="32"/>
          <w:highlight w:val="none"/>
          <w:lang w:val="en-US" w:eastAsia="zh-CN"/>
        </w:rPr>
        <w:t>谢明洪</w:t>
      </w:r>
      <w:r>
        <w:rPr>
          <w:rFonts w:hint="default" w:ascii="Times New Roman" w:hAnsi="Times New Roman" w:eastAsia="仿宋_GB2312" w:cs="Times New Roman"/>
          <w:snapToGrid/>
          <w:color w:val="auto"/>
          <w:spacing w:val="0"/>
          <w:kern w:val="0"/>
          <w:sz w:val="32"/>
          <w:szCs w:val="32"/>
          <w:highlight w:val="none"/>
          <w:lang w:val="en-US" w:eastAsia="zh-CN"/>
        </w:rPr>
        <w:t>）的身份信息的事实；</w:t>
      </w:r>
    </w:p>
    <w:p w14:paraId="4344057F">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yellow"/>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3</w:t>
      </w:r>
      <w:r>
        <w:rPr>
          <w:rFonts w:hint="default" w:ascii="Times New Roman" w:hAnsi="Times New Roman" w:eastAsia="仿宋_GB2312" w:cs="Times New Roman"/>
          <w:snapToGrid/>
          <w:color w:val="auto"/>
          <w:spacing w:val="0"/>
          <w:kern w:val="0"/>
          <w:sz w:val="32"/>
          <w:szCs w:val="32"/>
          <w:highlight w:val="none"/>
          <w:lang w:val="en-US" w:eastAsia="zh-CN"/>
        </w:rPr>
        <w:t>.2025年</w:t>
      </w:r>
      <w:r>
        <w:rPr>
          <w:rFonts w:hint="eastAsia" w:ascii="Times New Roman" w:hAnsi="Times New Roman" w:eastAsia="仿宋_GB2312" w:cs="Times New Roman"/>
          <w:snapToGrid/>
          <w:color w:val="auto"/>
          <w:spacing w:val="0"/>
          <w:kern w:val="0"/>
          <w:sz w:val="32"/>
          <w:szCs w:val="32"/>
          <w:highlight w:val="none"/>
          <w:lang w:val="en-US" w:eastAsia="zh-CN"/>
        </w:rPr>
        <w:t>4</w:t>
      </w:r>
      <w:r>
        <w:rPr>
          <w:rFonts w:hint="default" w:ascii="Times New Roman" w:hAnsi="Times New Roman" w:eastAsia="仿宋_GB2312" w:cs="Times New Roman"/>
          <w:snapToGrid/>
          <w:color w:val="auto"/>
          <w:spacing w:val="0"/>
          <w:kern w:val="0"/>
          <w:sz w:val="32"/>
          <w:szCs w:val="32"/>
          <w:highlight w:val="none"/>
          <w:lang w:val="en-US" w:eastAsia="zh-CN"/>
        </w:rPr>
        <w:t>月</w:t>
      </w:r>
      <w:r>
        <w:rPr>
          <w:rFonts w:hint="eastAsia" w:ascii="Times New Roman" w:hAnsi="Times New Roman" w:eastAsia="仿宋_GB2312" w:cs="Times New Roman"/>
          <w:snapToGrid/>
          <w:color w:val="auto"/>
          <w:spacing w:val="0"/>
          <w:kern w:val="0"/>
          <w:sz w:val="32"/>
          <w:szCs w:val="32"/>
          <w:highlight w:val="none"/>
          <w:lang w:val="en-US" w:eastAsia="zh-CN"/>
        </w:rPr>
        <w:t>18</w:t>
      </w:r>
      <w:r>
        <w:rPr>
          <w:rFonts w:hint="default" w:ascii="Times New Roman" w:hAnsi="Times New Roman" w:eastAsia="仿宋_GB2312" w:cs="Times New Roman"/>
          <w:snapToGrid/>
          <w:color w:val="auto"/>
          <w:spacing w:val="0"/>
          <w:kern w:val="0"/>
          <w:sz w:val="32"/>
          <w:szCs w:val="32"/>
          <w:highlight w:val="none"/>
          <w:lang w:val="en-US" w:eastAsia="zh-CN"/>
        </w:rPr>
        <w:t>日，我局执法人员依法拍摄现场检查照片2张，证明我局执法人员现场检查的事实；</w:t>
      </w:r>
    </w:p>
    <w:p w14:paraId="52011350">
      <w:pPr>
        <w:pStyle w:val="7"/>
        <w:keepNext w:val="0"/>
        <w:keepLines w:val="0"/>
        <w:pageBreakBefore w:val="0"/>
        <w:widowControl w:val="0"/>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napToGrid/>
          <w:color w:val="auto"/>
          <w:spacing w:val="0"/>
          <w:kern w:val="0"/>
          <w:sz w:val="32"/>
          <w:szCs w:val="32"/>
          <w:highlight w:val="none"/>
          <w:lang w:val="en-US" w:eastAsia="zh-CN" w:bidi="ar-SA"/>
        </w:rPr>
      </w:pP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.2025年</w:t>
      </w: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月</w:t>
      </w:r>
      <w:r>
        <w:rPr>
          <w:rFonts w:hint="eastAsia" w:ascii="Times New Roman" w:hAnsi="Times New Roman" w:eastAsia="仿宋_GB2312" w:cs="Times New Roman"/>
          <w:snapToGrid/>
          <w:color w:val="auto"/>
          <w:spacing w:val="0"/>
          <w:kern w:val="0"/>
          <w:sz w:val="32"/>
          <w:szCs w:val="32"/>
          <w:highlight w:val="none"/>
          <w:lang w:val="en-US" w:eastAsia="zh-CN" w:bidi="ar-SA"/>
        </w:rPr>
        <w:t>18</w:t>
      </w:r>
      <w:r>
        <w:rPr>
          <w:rFonts w:hint="default" w:ascii="Times New Roman" w:hAnsi="Times New Roman" w:eastAsia="仿宋_GB2312" w:cs="Times New Roman"/>
          <w:snapToGrid/>
          <w:color w:val="auto"/>
          <w:spacing w:val="0"/>
          <w:kern w:val="0"/>
          <w:sz w:val="32"/>
          <w:szCs w:val="32"/>
          <w:highlight w:val="none"/>
          <w:lang w:val="en-US" w:eastAsia="zh-CN" w:bidi="ar-SA"/>
        </w:rPr>
        <w:t>日，我局执法人员依法提取</w:t>
      </w:r>
      <w:r>
        <w:rPr>
          <w:rFonts w:hint="eastAsia" w:ascii="Times New Roman" w:hAnsi="Times New Roman" w:eastAsia="仿宋_GB2312" w:cs="Times New Roman"/>
          <w:snapToGrid/>
          <w:color w:val="auto"/>
          <w:spacing w:val="0"/>
          <w:kern w:val="0"/>
          <w:sz w:val="32"/>
          <w:szCs w:val="32"/>
          <w:highlight w:val="none"/>
          <w:lang w:val="en-US" w:eastAsia="zh-CN" w:bidi="ar-SA"/>
        </w:rPr>
        <w:t>昆玉市怀恩殡仪馆死亡人员台账（自2023年10月运营以来）</w:t>
      </w:r>
      <w:r>
        <w:rPr>
          <w:rFonts w:hint="default" w:ascii="Times New Roman" w:hAnsi="Times New Roman" w:eastAsia="仿宋_GB2312" w:cs="Times New Roman"/>
          <w:snapToGrid/>
          <w:color w:val="auto"/>
          <w:spacing w:val="0"/>
          <w:kern w:val="0"/>
          <w:sz w:val="32"/>
          <w:szCs w:val="32"/>
          <w:highlight w:val="none"/>
          <w:lang w:val="en-US" w:eastAsia="zh-CN" w:bidi="ar-SA"/>
        </w:rPr>
        <w:t>复印件1份，证明当事人</w:t>
      </w:r>
      <w:r>
        <w:rPr>
          <w:rFonts w:hint="eastAsia" w:ascii="Times New Roman" w:hAnsi="Times New Roman" w:eastAsia="仿宋_GB2312" w:cs="Times New Roman"/>
          <w:snapToGrid/>
          <w:color w:val="auto"/>
          <w:spacing w:val="0"/>
          <w:kern w:val="0"/>
          <w:sz w:val="32"/>
          <w:szCs w:val="32"/>
          <w:highlight w:val="none"/>
          <w:lang w:val="en-US" w:eastAsia="zh-CN" w:bidi="ar-SA"/>
        </w:rPr>
        <w:t>实际运营情况</w:t>
      </w:r>
      <w:r>
        <w:rPr>
          <w:rFonts w:hint="default" w:ascii="Times New Roman" w:hAnsi="Times New Roman" w:eastAsia="仿宋_GB2312" w:cs="Times New Roman"/>
          <w:snapToGrid/>
          <w:color w:val="auto"/>
          <w:spacing w:val="0"/>
          <w:kern w:val="0"/>
          <w:sz w:val="32"/>
          <w:szCs w:val="32"/>
          <w:highlight w:val="none"/>
          <w:lang w:val="en-US" w:eastAsia="zh-CN" w:bidi="ar-SA"/>
        </w:rPr>
        <w:t>的事实；</w:t>
      </w:r>
    </w:p>
    <w:p w14:paraId="3478D564">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bidi="ar-SA"/>
        </w:rPr>
      </w:pPr>
      <w:r>
        <w:rPr>
          <w:rFonts w:hint="eastAsia" w:ascii="Times New Roman" w:hAnsi="Times New Roman" w:eastAsia="仿宋_GB2312" w:cs="Times New Roman"/>
          <w:snapToGrid/>
          <w:color w:val="auto"/>
          <w:spacing w:val="0"/>
          <w:kern w:val="0"/>
          <w:sz w:val="32"/>
          <w:szCs w:val="32"/>
          <w:highlight w:val="none"/>
          <w:lang w:val="en-US" w:eastAsia="zh-CN" w:bidi="ar-SA"/>
        </w:rPr>
        <w:t>5</w:t>
      </w:r>
      <w:r>
        <w:rPr>
          <w:rFonts w:hint="default" w:ascii="Times New Roman" w:hAnsi="Times New Roman" w:eastAsia="仿宋_GB2312" w:cs="Times New Roman"/>
          <w:snapToGrid/>
          <w:color w:val="auto"/>
          <w:spacing w:val="0"/>
          <w:kern w:val="0"/>
          <w:sz w:val="32"/>
          <w:szCs w:val="32"/>
          <w:highlight w:val="none"/>
          <w:lang w:val="en-US" w:eastAsia="zh-CN" w:bidi="ar-SA"/>
        </w:rPr>
        <w:t>.2025年</w:t>
      </w: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月2</w:t>
      </w: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日，我局执法人员依法提取当事人</w:t>
      </w:r>
      <w:r>
        <w:rPr>
          <w:rFonts w:hint="eastAsia" w:ascii="Times New Roman" w:hAnsi="Times New Roman" w:eastAsia="仿宋_GB2312" w:cs="Times New Roman"/>
          <w:snapToGrid/>
          <w:color w:val="auto"/>
          <w:spacing w:val="0"/>
          <w:kern w:val="0"/>
          <w:sz w:val="32"/>
          <w:szCs w:val="32"/>
          <w:highlight w:val="none"/>
          <w:lang w:val="en-US" w:eastAsia="zh-CN" w:bidi="ar-SA"/>
        </w:rPr>
        <w:t>《昆玉市怀恩殡仪馆价格表》照片1张、《昆玉市怀恩殡仪馆服务收费清单》复印件</w:t>
      </w:r>
      <w:r>
        <w:rPr>
          <w:rFonts w:hint="default" w:ascii="Times New Roman" w:hAnsi="Times New Roman" w:eastAsia="仿宋_GB2312" w:cs="Times New Roman"/>
          <w:snapToGrid/>
          <w:color w:val="auto"/>
          <w:spacing w:val="0"/>
          <w:kern w:val="0"/>
          <w:sz w:val="32"/>
          <w:szCs w:val="32"/>
          <w:highlight w:val="none"/>
          <w:lang w:val="en-US" w:eastAsia="zh-CN" w:bidi="ar-SA"/>
        </w:rPr>
        <w:t>1</w:t>
      </w:r>
      <w:r>
        <w:rPr>
          <w:rFonts w:hint="eastAsia" w:ascii="Times New Roman" w:hAnsi="Times New Roman" w:eastAsia="仿宋_GB2312" w:cs="Times New Roman"/>
          <w:snapToGrid/>
          <w:color w:val="auto"/>
          <w:spacing w:val="0"/>
          <w:kern w:val="0"/>
          <w:sz w:val="32"/>
          <w:szCs w:val="32"/>
          <w:highlight w:val="none"/>
          <w:lang w:val="en-US" w:eastAsia="zh-CN" w:bidi="ar-SA"/>
        </w:rPr>
        <w:t>2</w:t>
      </w:r>
      <w:r>
        <w:rPr>
          <w:rFonts w:hint="default" w:ascii="Times New Roman" w:hAnsi="Times New Roman" w:eastAsia="仿宋_GB2312" w:cs="Times New Roman"/>
          <w:snapToGrid/>
          <w:color w:val="auto"/>
          <w:spacing w:val="0"/>
          <w:kern w:val="0"/>
          <w:sz w:val="32"/>
          <w:szCs w:val="32"/>
          <w:highlight w:val="none"/>
          <w:lang w:val="en-US" w:eastAsia="zh-CN" w:bidi="ar-SA"/>
        </w:rPr>
        <w:t>份，证明当事人</w:t>
      </w:r>
      <w:r>
        <w:rPr>
          <w:rFonts w:hint="eastAsia" w:ascii="Times New Roman" w:hAnsi="Times New Roman" w:eastAsia="仿宋_GB2312" w:cs="Times New Roman"/>
          <w:snapToGrid/>
          <w:color w:val="auto"/>
          <w:spacing w:val="0"/>
          <w:kern w:val="0"/>
          <w:sz w:val="32"/>
          <w:szCs w:val="32"/>
          <w:highlight w:val="none"/>
          <w:lang w:val="en-US" w:eastAsia="zh-CN" w:bidi="ar-SA"/>
        </w:rPr>
        <w:t>未按规定</w:t>
      </w:r>
      <w:r>
        <w:rPr>
          <w:rFonts w:hint="default" w:ascii="Times New Roman" w:hAnsi="Times New Roman" w:eastAsia="仿宋_GB2312" w:cs="Times New Roman"/>
          <w:snapToGrid/>
          <w:color w:val="auto"/>
          <w:spacing w:val="0"/>
          <w:kern w:val="0"/>
          <w:sz w:val="32"/>
          <w:szCs w:val="32"/>
          <w:highlight w:val="none"/>
          <w:lang w:val="en-US" w:eastAsia="zh-CN" w:bidi="ar-SA"/>
        </w:rPr>
        <w:t>对</w:t>
      </w:r>
      <w:r>
        <w:rPr>
          <w:rFonts w:hint="eastAsia" w:ascii="Times New Roman" w:hAnsi="Times New Roman" w:eastAsia="仿宋_GB2312" w:cs="Times New Roman"/>
          <w:snapToGrid/>
          <w:color w:val="auto"/>
          <w:spacing w:val="0"/>
          <w:kern w:val="0"/>
          <w:sz w:val="32"/>
          <w:szCs w:val="32"/>
          <w:highlight w:val="none"/>
          <w:lang w:val="en-US" w:eastAsia="zh-CN" w:bidi="ar-SA"/>
        </w:rPr>
        <w:t>部分殡葬用品和服务</w:t>
      </w:r>
      <w:r>
        <w:rPr>
          <w:rFonts w:hint="default" w:ascii="Times New Roman" w:hAnsi="Times New Roman" w:eastAsia="仿宋_GB2312" w:cs="Times New Roman"/>
          <w:snapToGrid/>
          <w:color w:val="auto"/>
          <w:spacing w:val="0"/>
          <w:kern w:val="0"/>
          <w:sz w:val="32"/>
          <w:szCs w:val="32"/>
          <w:highlight w:val="none"/>
          <w:lang w:val="en-US" w:eastAsia="zh-CN" w:bidi="ar-SA"/>
        </w:rPr>
        <w:t>明码标价</w:t>
      </w:r>
      <w:r>
        <w:rPr>
          <w:rFonts w:hint="eastAsia" w:ascii="Times New Roman" w:hAnsi="Times New Roman" w:eastAsia="仿宋_GB2312" w:cs="Times New Roman"/>
          <w:snapToGrid/>
          <w:color w:val="auto"/>
          <w:spacing w:val="0"/>
          <w:kern w:val="0"/>
          <w:sz w:val="32"/>
          <w:szCs w:val="32"/>
          <w:highlight w:val="none"/>
          <w:lang w:val="en-US" w:eastAsia="zh-CN" w:bidi="ar-SA"/>
        </w:rPr>
        <w:t>、不执行政府定价重复收费和</w:t>
      </w:r>
      <w:r>
        <w:rPr>
          <w:rFonts w:hint="default" w:ascii="Times New Roman" w:hAnsi="Times New Roman" w:eastAsia="仿宋_GB2312" w:cs="Times New Roman"/>
          <w:snapToGrid/>
          <w:color w:val="auto"/>
          <w:spacing w:val="0"/>
          <w:kern w:val="0"/>
          <w:sz w:val="32"/>
          <w:szCs w:val="32"/>
          <w:highlight w:val="none"/>
          <w:lang w:val="en-US" w:eastAsia="zh-CN" w:bidi="ar-SA"/>
        </w:rPr>
        <w:t>在标价之外加价出售</w:t>
      </w:r>
      <w:r>
        <w:rPr>
          <w:rFonts w:hint="eastAsia" w:ascii="Times New Roman" w:hAnsi="Times New Roman" w:eastAsia="仿宋_GB2312" w:cs="Times New Roman"/>
          <w:snapToGrid/>
          <w:color w:val="auto"/>
          <w:spacing w:val="0"/>
          <w:kern w:val="0"/>
          <w:sz w:val="32"/>
          <w:szCs w:val="32"/>
          <w:highlight w:val="none"/>
          <w:lang w:val="en-US" w:eastAsia="zh-CN" w:bidi="ar-SA"/>
        </w:rPr>
        <w:t>殡葬用品</w:t>
      </w:r>
      <w:r>
        <w:rPr>
          <w:rFonts w:hint="default" w:ascii="Times New Roman" w:hAnsi="Times New Roman" w:eastAsia="仿宋_GB2312" w:cs="Times New Roman"/>
          <w:snapToGrid/>
          <w:color w:val="auto"/>
          <w:spacing w:val="0"/>
          <w:kern w:val="0"/>
          <w:sz w:val="32"/>
          <w:szCs w:val="32"/>
          <w:highlight w:val="none"/>
          <w:lang w:val="en-US" w:eastAsia="zh-CN" w:bidi="ar-SA"/>
        </w:rPr>
        <w:t>的事实；</w:t>
      </w:r>
    </w:p>
    <w:p w14:paraId="55B8266D">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bidi="ar-SA"/>
        </w:rPr>
      </w:pPr>
      <w:r>
        <w:rPr>
          <w:rFonts w:hint="default" w:ascii="Times New Roman" w:hAnsi="Times New Roman" w:eastAsia="仿宋_GB2312" w:cs="Times New Roman"/>
          <w:snapToGrid/>
          <w:color w:val="auto"/>
          <w:spacing w:val="0"/>
          <w:kern w:val="0"/>
          <w:sz w:val="32"/>
          <w:szCs w:val="32"/>
          <w:highlight w:val="none"/>
          <w:lang w:val="en-US" w:eastAsia="zh-CN" w:bidi="ar-SA"/>
        </w:rPr>
        <w:t>6.2025年</w:t>
      </w: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月</w:t>
      </w:r>
      <w:r>
        <w:rPr>
          <w:rFonts w:hint="eastAsia" w:ascii="Times New Roman" w:hAnsi="Times New Roman" w:eastAsia="仿宋_GB2312" w:cs="Times New Roman"/>
          <w:snapToGrid/>
          <w:color w:val="auto"/>
          <w:spacing w:val="0"/>
          <w:kern w:val="0"/>
          <w:sz w:val="32"/>
          <w:szCs w:val="32"/>
          <w:highlight w:val="none"/>
          <w:lang w:val="en-US" w:eastAsia="zh-CN" w:bidi="ar-SA"/>
        </w:rPr>
        <w:t>18</w:t>
      </w:r>
      <w:r>
        <w:rPr>
          <w:rFonts w:hint="default" w:ascii="Times New Roman" w:hAnsi="Times New Roman" w:eastAsia="仿宋_GB2312" w:cs="Times New Roman"/>
          <w:snapToGrid/>
          <w:color w:val="auto"/>
          <w:spacing w:val="0"/>
          <w:kern w:val="0"/>
          <w:sz w:val="32"/>
          <w:szCs w:val="32"/>
          <w:highlight w:val="none"/>
          <w:lang w:val="en-US" w:eastAsia="zh-CN" w:bidi="ar-SA"/>
        </w:rPr>
        <w:t>日，我局执法人员依法制作现场笔录1份，证明当事人</w:t>
      </w:r>
      <w:r>
        <w:rPr>
          <w:rFonts w:hint="eastAsia" w:ascii="Times New Roman" w:hAnsi="Times New Roman" w:eastAsia="仿宋_GB2312" w:cs="Times New Roman"/>
          <w:snapToGrid/>
          <w:color w:val="auto"/>
          <w:spacing w:val="0"/>
          <w:kern w:val="0"/>
          <w:sz w:val="32"/>
          <w:szCs w:val="32"/>
          <w:highlight w:val="none"/>
          <w:lang w:val="en-US" w:eastAsia="zh-CN" w:bidi="ar-SA"/>
        </w:rPr>
        <w:t>未按规定</w:t>
      </w:r>
      <w:r>
        <w:rPr>
          <w:rFonts w:hint="default" w:ascii="Times New Roman" w:hAnsi="Times New Roman" w:eastAsia="仿宋_GB2312" w:cs="Times New Roman"/>
          <w:snapToGrid/>
          <w:color w:val="auto"/>
          <w:spacing w:val="0"/>
          <w:kern w:val="0"/>
          <w:sz w:val="32"/>
          <w:szCs w:val="32"/>
          <w:highlight w:val="none"/>
          <w:lang w:val="en-US" w:eastAsia="zh-CN" w:bidi="ar-SA"/>
        </w:rPr>
        <w:t>对</w:t>
      </w:r>
      <w:r>
        <w:rPr>
          <w:rFonts w:hint="eastAsia" w:ascii="Times New Roman" w:hAnsi="Times New Roman" w:eastAsia="仿宋_GB2312" w:cs="Times New Roman"/>
          <w:snapToGrid/>
          <w:color w:val="auto"/>
          <w:spacing w:val="0"/>
          <w:kern w:val="0"/>
          <w:sz w:val="32"/>
          <w:szCs w:val="32"/>
          <w:highlight w:val="none"/>
          <w:lang w:val="en-US" w:eastAsia="zh-CN" w:bidi="ar-SA"/>
        </w:rPr>
        <w:t>部分殡葬用品和服务</w:t>
      </w:r>
      <w:r>
        <w:rPr>
          <w:rFonts w:hint="default" w:ascii="Times New Roman" w:hAnsi="Times New Roman" w:eastAsia="仿宋_GB2312" w:cs="Times New Roman"/>
          <w:snapToGrid/>
          <w:color w:val="auto"/>
          <w:spacing w:val="0"/>
          <w:kern w:val="0"/>
          <w:sz w:val="32"/>
          <w:szCs w:val="32"/>
          <w:highlight w:val="none"/>
          <w:lang w:val="en-US" w:eastAsia="zh-CN" w:bidi="ar-SA"/>
        </w:rPr>
        <w:t>明码标价</w:t>
      </w:r>
      <w:r>
        <w:rPr>
          <w:rFonts w:hint="eastAsia" w:ascii="Times New Roman" w:hAnsi="Times New Roman" w:eastAsia="仿宋_GB2312" w:cs="Times New Roman"/>
          <w:snapToGrid/>
          <w:color w:val="auto"/>
          <w:spacing w:val="0"/>
          <w:kern w:val="0"/>
          <w:sz w:val="32"/>
          <w:szCs w:val="32"/>
          <w:highlight w:val="none"/>
          <w:lang w:val="en-US" w:eastAsia="zh-CN" w:bidi="ar-SA"/>
        </w:rPr>
        <w:t>、不执行政府定价重复收费和</w:t>
      </w:r>
      <w:r>
        <w:rPr>
          <w:rFonts w:hint="default" w:ascii="Times New Roman" w:hAnsi="Times New Roman" w:eastAsia="仿宋_GB2312" w:cs="Times New Roman"/>
          <w:snapToGrid/>
          <w:color w:val="auto"/>
          <w:spacing w:val="0"/>
          <w:kern w:val="0"/>
          <w:sz w:val="32"/>
          <w:szCs w:val="32"/>
          <w:highlight w:val="none"/>
          <w:lang w:val="en-US" w:eastAsia="zh-CN" w:bidi="ar-SA"/>
        </w:rPr>
        <w:t>在标价之外加价出售</w:t>
      </w:r>
      <w:r>
        <w:rPr>
          <w:rFonts w:hint="eastAsia" w:ascii="Times New Roman" w:hAnsi="Times New Roman" w:eastAsia="仿宋_GB2312" w:cs="Times New Roman"/>
          <w:snapToGrid/>
          <w:color w:val="auto"/>
          <w:spacing w:val="0"/>
          <w:kern w:val="0"/>
          <w:sz w:val="32"/>
          <w:szCs w:val="32"/>
          <w:highlight w:val="none"/>
          <w:lang w:val="en-US" w:eastAsia="zh-CN" w:bidi="ar-SA"/>
        </w:rPr>
        <w:t>殡葬用品</w:t>
      </w:r>
      <w:r>
        <w:rPr>
          <w:rFonts w:hint="default" w:ascii="Times New Roman" w:hAnsi="Times New Roman" w:eastAsia="仿宋_GB2312" w:cs="Times New Roman"/>
          <w:snapToGrid/>
          <w:color w:val="auto"/>
          <w:spacing w:val="0"/>
          <w:kern w:val="0"/>
          <w:sz w:val="32"/>
          <w:szCs w:val="32"/>
          <w:highlight w:val="none"/>
          <w:lang w:val="en-US" w:eastAsia="zh-CN" w:bidi="ar-SA"/>
        </w:rPr>
        <w:t>的事实；</w:t>
      </w:r>
    </w:p>
    <w:p w14:paraId="4300B244">
      <w:pPr>
        <w:pStyle w:val="7"/>
        <w:keepNext w:val="0"/>
        <w:keepLines w:val="0"/>
        <w:pageBreakBefore w:val="0"/>
        <w:widowControl w:val="0"/>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napToGrid/>
          <w:color w:val="auto"/>
          <w:spacing w:val="0"/>
          <w:kern w:val="0"/>
          <w:sz w:val="32"/>
          <w:szCs w:val="32"/>
          <w:highlight w:val="none"/>
          <w:lang w:val="en-US" w:eastAsia="zh-CN" w:bidi="ar-SA"/>
        </w:rPr>
      </w:pPr>
      <w:r>
        <w:rPr>
          <w:rFonts w:hint="default" w:ascii="Times New Roman" w:hAnsi="Times New Roman" w:eastAsia="仿宋_GB2312" w:cs="Times New Roman"/>
          <w:snapToGrid/>
          <w:color w:val="auto"/>
          <w:spacing w:val="0"/>
          <w:kern w:val="0"/>
          <w:sz w:val="32"/>
          <w:szCs w:val="32"/>
          <w:highlight w:val="none"/>
          <w:lang w:val="en-US" w:eastAsia="zh-CN" w:bidi="ar-SA"/>
        </w:rPr>
        <w:t>7.2025年</w:t>
      </w: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月2</w:t>
      </w: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日，我局执法人员依法</w:t>
      </w:r>
      <w:r>
        <w:rPr>
          <w:rFonts w:hint="eastAsia" w:ascii="Times New Roman" w:hAnsi="Times New Roman" w:eastAsia="仿宋_GB2312" w:cs="Times New Roman"/>
          <w:snapToGrid/>
          <w:color w:val="auto"/>
          <w:spacing w:val="0"/>
          <w:kern w:val="0"/>
          <w:sz w:val="32"/>
          <w:szCs w:val="32"/>
          <w:highlight w:val="none"/>
          <w:lang w:val="en-US" w:eastAsia="zh-CN" w:bidi="ar-SA"/>
        </w:rPr>
        <w:t>提取当事人供货商雄县米家务镇福山殡葬用品厂营业执照、采购物品清单和电子发票复印件各1份</w:t>
      </w:r>
      <w:r>
        <w:rPr>
          <w:rFonts w:hint="default" w:ascii="Times New Roman" w:hAnsi="Times New Roman" w:eastAsia="仿宋_GB2312" w:cs="Times New Roman"/>
          <w:snapToGrid/>
          <w:color w:val="auto"/>
          <w:spacing w:val="0"/>
          <w:kern w:val="0"/>
          <w:sz w:val="32"/>
          <w:szCs w:val="32"/>
          <w:highlight w:val="none"/>
          <w:lang w:val="en-US" w:eastAsia="zh-CN" w:bidi="ar-SA"/>
        </w:rPr>
        <w:t>，证明当事人</w:t>
      </w:r>
      <w:r>
        <w:rPr>
          <w:rFonts w:hint="eastAsia" w:ascii="Times New Roman" w:hAnsi="Times New Roman" w:eastAsia="仿宋_GB2312" w:cs="Times New Roman"/>
          <w:snapToGrid/>
          <w:color w:val="auto"/>
          <w:spacing w:val="0"/>
          <w:kern w:val="0"/>
          <w:sz w:val="32"/>
          <w:szCs w:val="32"/>
          <w:highlight w:val="none"/>
          <w:lang w:val="en-US" w:eastAsia="zh-CN" w:bidi="ar-SA"/>
        </w:rPr>
        <w:t>从雄县米家务镇福山殡葬用品厂采购殡葬用品</w:t>
      </w:r>
      <w:r>
        <w:rPr>
          <w:rFonts w:hint="default" w:ascii="Times New Roman" w:hAnsi="Times New Roman" w:eastAsia="仿宋_GB2312" w:cs="Times New Roman"/>
          <w:snapToGrid/>
          <w:color w:val="auto"/>
          <w:spacing w:val="0"/>
          <w:kern w:val="0"/>
          <w:sz w:val="32"/>
          <w:szCs w:val="32"/>
          <w:highlight w:val="none"/>
          <w:lang w:val="en-US" w:eastAsia="zh-CN" w:bidi="ar-SA"/>
        </w:rPr>
        <w:t>的事实；</w:t>
      </w:r>
    </w:p>
    <w:p w14:paraId="3653A912">
      <w:pPr>
        <w:pStyle w:val="7"/>
        <w:keepNext w:val="0"/>
        <w:keepLines w:val="0"/>
        <w:pageBreakBefore w:val="0"/>
        <w:widowControl w:val="0"/>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napToGrid/>
          <w:color w:val="auto"/>
          <w:spacing w:val="0"/>
          <w:kern w:val="0"/>
          <w:sz w:val="32"/>
          <w:szCs w:val="32"/>
          <w:highlight w:val="none"/>
          <w:lang w:val="en-US" w:eastAsia="zh-CN" w:bidi="ar-SA"/>
        </w:rPr>
      </w:pPr>
      <w:r>
        <w:rPr>
          <w:rFonts w:hint="default" w:ascii="Times New Roman" w:hAnsi="Times New Roman" w:eastAsia="仿宋_GB2312" w:cs="Times New Roman"/>
          <w:snapToGrid/>
          <w:color w:val="auto"/>
          <w:spacing w:val="0"/>
          <w:kern w:val="0"/>
          <w:sz w:val="32"/>
          <w:szCs w:val="32"/>
          <w:highlight w:val="none"/>
          <w:lang w:val="en-US" w:eastAsia="zh-CN" w:bidi="ar-SA"/>
        </w:rPr>
        <w:t>8.2025年</w:t>
      </w: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月25日，我局执法人员依法提取</w:t>
      </w:r>
      <w:r>
        <w:rPr>
          <w:rFonts w:hint="eastAsia" w:ascii="Times New Roman" w:hAnsi="Times New Roman" w:eastAsia="仿宋_GB2312" w:cs="Times New Roman"/>
          <w:snapToGrid/>
          <w:color w:val="auto"/>
          <w:spacing w:val="0"/>
          <w:kern w:val="0"/>
          <w:sz w:val="32"/>
          <w:szCs w:val="32"/>
          <w:highlight w:val="none"/>
          <w:lang w:val="en-US" w:eastAsia="zh-CN" w:bidi="ar-SA"/>
        </w:rPr>
        <w:t>当事人同雄县米家务镇福山殡葬用品厂签订的《长期供货合作合同》</w:t>
      </w:r>
      <w:r>
        <w:rPr>
          <w:rFonts w:hint="default" w:ascii="Times New Roman" w:hAnsi="Times New Roman" w:eastAsia="仿宋_GB2312" w:cs="Times New Roman"/>
          <w:snapToGrid/>
          <w:color w:val="auto"/>
          <w:spacing w:val="0"/>
          <w:kern w:val="0"/>
          <w:sz w:val="32"/>
          <w:szCs w:val="32"/>
          <w:highlight w:val="none"/>
          <w:lang w:val="en-US" w:eastAsia="zh-CN" w:bidi="ar-SA"/>
        </w:rPr>
        <w:t>复印件</w:t>
      </w:r>
      <w:r>
        <w:rPr>
          <w:rFonts w:hint="eastAsia" w:ascii="Times New Roman" w:hAnsi="Times New Roman" w:eastAsia="仿宋_GB2312" w:cs="Times New Roman"/>
          <w:snapToGrid/>
          <w:color w:val="auto"/>
          <w:spacing w:val="0"/>
          <w:kern w:val="0"/>
          <w:sz w:val="32"/>
          <w:szCs w:val="32"/>
          <w:highlight w:val="none"/>
          <w:lang w:val="en-US" w:eastAsia="zh-CN" w:bidi="ar-SA"/>
        </w:rPr>
        <w:t>2</w:t>
      </w:r>
      <w:r>
        <w:rPr>
          <w:rFonts w:hint="default" w:ascii="Times New Roman" w:hAnsi="Times New Roman" w:eastAsia="仿宋_GB2312" w:cs="Times New Roman"/>
          <w:snapToGrid/>
          <w:color w:val="auto"/>
          <w:spacing w:val="0"/>
          <w:kern w:val="0"/>
          <w:sz w:val="32"/>
          <w:szCs w:val="32"/>
          <w:highlight w:val="none"/>
          <w:lang w:val="en-US" w:eastAsia="zh-CN" w:bidi="ar-SA"/>
        </w:rPr>
        <w:t>份，证明当事人</w:t>
      </w:r>
      <w:r>
        <w:rPr>
          <w:rFonts w:hint="eastAsia" w:ascii="Times New Roman" w:hAnsi="Times New Roman" w:eastAsia="仿宋_GB2312" w:cs="Times New Roman"/>
          <w:snapToGrid/>
          <w:color w:val="auto"/>
          <w:spacing w:val="0"/>
          <w:kern w:val="0"/>
          <w:sz w:val="32"/>
          <w:szCs w:val="32"/>
          <w:highlight w:val="none"/>
          <w:lang w:val="en-US" w:eastAsia="zh-CN" w:bidi="ar-SA"/>
        </w:rPr>
        <w:t>同雄县米家务镇福山殡葬用品厂签订供货合同</w:t>
      </w:r>
      <w:r>
        <w:rPr>
          <w:rFonts w:hint="default" w:ascii="Times New Roman" w:hAnsi="Times New Roman" w:eastAsia="仿宋_GB2312" w:cs="Times New Roman"/>
          <w:snapToGrid/>
          <w:color w:val="auto"/>
          <w:spacing w:val="0"/>
          <w:kern w:val="0"/>
          <w:sz w:val="32"/>
          <w:szCs w:val="32"/>
          <w:highlight w:val="none"/>
          <w:lang w:val="en-US" w:eastAsia="zh-CN" w:bidi="ar-SA"/>
        </w:rPr>
        <w:t>的事实；</w:t>
      </w:r>
    </w:p>
    <w:p w14:paraId="26F1E24B">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bidi="ar-SA"/>
        </w:rPr>
      </w:pPr>
      <w:r>
        <w:rPr>
          <w:rFonts w:hint="default" w:ascii="Times New Roman" w:hAnsi="Times New Roman" w:eastAsia="仿宋_GB2312" w:cs="Times New Roman"/>
          <w:snapToGrid/>
          <w:color w:val="auto"/>
          <w:spacing w:val="0"/>
          <w:kern w:val="0"/>
          <w:sz w:val="32"/>
          <w:szCs w:val="32"/>
          <w:highlight w:val="none"/>
          <w:lang w:val="en-US" w:eastAsia="zh-CN" w:bidi="ar-SA"/>
        </w:rPr>
        <w:t>9.2025年</w:t>
      </w: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月2</w:t>
      </w:r>
      <w:r>
        <w:rPr>
          <w:rFonts w:hint="eastAsia" w:ascii="Times New Roman" w:hAnsi="Times New Roman" w:eastAsia="仿宋_GB2312" w:cs="Times New Roman"/>
          <w:snapToGrid/>
          <w:color w:val="auto"/>
          <w:spacing w:val="0"/>
          <w:kern w:val="0"/>
          <w:sz w:val="32"/>
          <w:szCs w:val="32"/>
          <w:highlight w:val="none"/>
          <w:lang w:val="en-US" w:eastAsia="zh-CN" w:bidi="ar-SA"/>
        </w:rPr>
        <w:t>4</w:t>
      </w:r>
      <w:r>
        <w:rPr>
          <w:rFonts w:hint="default" w:ascii="Times New Roman" w:hAnsi="Times New Roman" w:eastAsia="仿宋_GB2312" w:cs="Times New Roman"/>
          <w:snapToGrid/>
          <w:color w:val="auto"/>
          <w:spacing w:val="0"/>
          <w:kern w:val="0"/>
          <w:sz w:val="32"/>
          <w:szCs w:val="32"/>
          <w:highlight w:val="none"/>
          <w:lang w:val="en-US" w:eastAsia="zh-CN" w:bidi="ar-SA"/>
        </w:rPr>
        <w:t>日，我局执法人员依法提取</w:t>
      </w:r>
      <w:r>
        <w:rPr>
          <w:rFonts w:hint="eastAsia" w:ascii="Times New Roman" w:hAnsi="Times New Roman" w:eastAsia="仿宋_GB2312" w:cs="Times New Roman"/>
          <w:snapToGrid/>
          <w:color w:val="auto"/>
          <w:spacing w:val="0"/>
          <w:kern w:val="0"/>
          <w:sz w:val="32"/>
          <w:szCs w:val="32"/>
          <w:highlight w:val="none"/>
          <w:lang w:val="en-US" w:eastAsia="zh-CN" w:bidi="ar-SA"/>
        </w:rPr>
        <w:t>当事人微信退款转账凭证截图9</w:t>
      </w:r>
      <w:r>
        <w:rPr>
          <w:rFonts w:hint="default" w:ascii="Times New Roman" w:hAnsi="Times New Roman" w:eastAsia="仿宋_GB2312" w:cs="Times New Roman"/>
          <w:snapToGrid/>
          <w:color w:val="auto"/>
          <w:spacing w:val="0"/>
          <w:kern w:val="0"/>
          <w:sz w:val="32"/>
          <w:szCs w:val="32"/>
          <w:highlight w:val="none"/>
          <w:lang w:val="en-US" w:eastAsia="zh-CN" w:bidi="ar-SA"/>
        </w:rPr>
        <w:t>份，证明当事人</w:t>
      </w:r>
      <w:r>
        <w:rPr>
          <w:rFonts w:hint="eastAsia" w:ascii="Times New Roman" w:hAnsi="Times New Roman" w:eastAsia="仿宋_GB2312" w:cs="Times New Roman"/>
          <w:snapToGrid/>
          <w:color w:val="auto"/>
          <w:spacing w:val="0"/>
          <w:kern w:val="0"/>
          <w:sz w:val="32"/>
          <w:szCs w:val="32"/>
          <w:highlight w:val="none"/>
          <w:lang w:val="en-US" w:eastAsia="zh-CN" w:bidi="ar-SA"/>
        </w:rPr>
        <w:t>退还多收取丧属2015元款项的事实</w:t>
      </w:r>
      <w:r>
        <w:rPr>
          <w:rFonts w:hint="default" w:ascii="Times New Roman" w:hAnsi="Times New Roman" w:eastAsia="仿宋_GB2312" w:cs="Times New Roman"/>
          <w:snapToGrid/>
          <w:color w:val="auto"/>
          <w:spacing w:val="0"/>
          <w:kern w:val="0"/>
          <w:sz w:val="32"/>
          <w:szCs w:val="32"/>
          <w:highlight w:val="none"/>
          <w:lang w:val="en-US" w:eastAsia="zh-CN" w:bidi="ar-SA"/>
        </w:rPr>
        <w:t>；</w:t>
      </w:r>
    </w:p>
    <w:p w14:paraId="4F14A253">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10.2025年</w:t>
      </w:r>
      <w:r>
        <w:rPr>
          <w:rFonts w:hint="eastAsia" w:ascii="Times New Roman" w:hAnsi="Times New Roman" w:eastAsia="仿宋_GB2312" w:cs="Times New Roman"/>
          <w:snapToGrid/>
          <w:color w:val="auto"/>
          <w:spacing w:val="0"/>
          <w:kern w:val="0"/>
          <w:sz w:val="32"/>
          <w:szCs w:val="32"/>
          <w:highlight w:val="none"/>
          <w:lang w:val="en-US" w:eastAsia="zh-CN"/>
        </w:rPr>
        <w:t>4</w:t>
      </w:r>
      <w:r>
        <w:rPr>
          <w:rFonts w:hint="default" w:ascii="Times New Roman" w:hAnsi="Times New Roman" w:eastAsia="仿宋_GB2312" w:cs="Times New Roman"/>
          <w:snapToGrid/>
          <w:color w:val="auto"/>
          <w:spacing w:val="0"/>
          <w:kern w:val="0"/>
          <w:sz w:val="32"/>
          <w:szCs w:val="32"/>
          <w:highlight w:val="none"/>
          <w:lang w:val="en-US" w:eastAsia="zh-CN"/>
        </w:rPr>
        <w:t>月2</w:t>
      </w:r>
      <w:r>
        <w:rPr>
          <w:rFonts w:hint="eastAsia" w:ascii="Times New Roman" w:hAnsi="Times New Roman" w:eastAsia="仿宋_GB2312" w:cs="Times New Roman"/>
          <w:snapToGrid/>
          <w:color w:val="auto"/>
          <w:spacing w:val="0"/>
          <w:kern w:val="0"/>
          <w:sz w:val="32"/>
          <w:szCs w:val="32"/>
          <w:highlight w:val="none"/>
          <w:lang w:val="en-US" w:eastAsia="zh-CN"/>
        </w:rPr>
        <w:t>4</w:t>
      </w:r>
      <w:r>
        <w:rPr>
          <w:rFonts w:hint="default" w:ascii="Times New Roman" w:hAnsi="Times New Roman" w:eastAsia="仿宋_GB2312" w:cs="Times New Roman"/>
          <w:snapToGrid/>
          <w:color w:val="auto"/>
          <w:spacing w:val="0"/>
          <w:kern w:val="0"/>
          <w:sz w:val="32"/>
          <w:szCs w:val="32"/>
          <w:highlight w:val="none"/>
          <w:lang w:val="en-US" w:eastAsia="zh-CN"/>
        </w:rPr>
        <w:t>日，我局</w:t>
      </w:r>
      <w:r>
        <w:rPr>
          <w:rFonts w:hint="default" w:ascii="Times New Roman" w:hAnsi="Times New Roman" w:eastAsia="仿宋_GB2312" w:cs="Times New Roman"/>
          <w:snapToGrid w:val="0"/>
          <w:color w:val="auto"/>
          <w:spacing w:val="4"/>
          <w:sz w:val="32"/>
          <w:szCs w:val="32"/>
          <w:highlight w:val="none"/>
          <w:lang w:val="en-US" w:eastAsia="zh-CN" w:bidi="ar-SA"/>
        </w:rPr>
        <w:t>执法人员</w:t>
      </w:r>
      <w:r>
        <w:rPr>
          <w:rFonts w:hint="default" w:ascii="Times New Roman" w:hAnsi="Times New Roman" w:eastAsia="仿宋_GB2312" w:cs="Times New Roman"/>
          <w:snapToGrid/>
          <w:color w:val="auto"/>
          <w:spacing w:val="0"/>
          <w:kern w:val="0"/>
          <w:sz w:val="32"/>
          <w:szCs w:val="32"/>
          <w:highlight w:val="none"/>
          <w:lang w:val="en-US" w:eastAsia="zh-CN"/>
        </w:rPr>
        <w:t>依法</w:t>
      </w:r>
      <w:r>
        <w:rPr>
          <w:rFonts w:hint="eastAsia" w:ascii="Times New Roman" w:hAnsi="Times New Roman" w:eastAsia="仿宋_GB2312" w:cs="Times New Roman"/>
          <w:snapToGrid/>
          <w:color w:val="auto"/>
          <w:spacing w:val="0"/>
          <w:kern w:val="0"/>
          <w:sz w:val="32"/>
          <w:szCs w:val="32"/>
          <w:highlight w:val="none"/>
          <w:lang w:val="en-US" w:eastAsia="zh-CN"/>
        </w:rPr>
        <w:t>制作当事人法定代表人谢明洪询问笔录1</w:t>
      </w:r>
      <w:r>
        <w:rPr>
          <w:rFonts w:hint="default" w:ascii="Times New Roman" w:hAnsi="Times New Roman" w:eastAsia="仿宋_GB2312" w:cs="Times New Roman"/>
          <w:snapToGrid/>
          <w:color w:val="auto"/>
          <w:spacing w:val="0"/>
          <w:kern w:val="0"/>
          <w:sz w:val="32"/>
          <w:szCs w:val="32"/>
          <w:highlight w:val="none"/>
          <w:lang w:val="en-US" w:eastAsia="zh-CN"/>
        </w:rPr>
        <w:t>份，证明当事人</w:t>
      </w:r>
      <w:r>
        <w:rPr>
          <w:rFonts w:hint="eastAsia" w:ascii="Times New Roman" w:hAnsi="Times New Roman" w:eastAsia="仿宋_GB2312" w:cs="Times New Roman"/>
          <w:snapToGrid/>
          <w:color w:val="auto"/>
          <w:spacing w:val="0"/>
          <w:kern w:val="0"/>
          <w:sz w:val="32"/>
          <w:szCs w:val="32"/>
          <w:highlight w:val="none"/>
          <w:lang w:val="en-US" w:eastAsia="zh-CN" w:bidi="ar-SA"/>
        </w:rPr>
        <w:t>未按规定</w:t>
      </w:r>
      <w:r>
        <w:rPr>
          <w:rFonts w:hint="default" w:ascii="Times New Roman" w:hAnsi="Times New Roman" w:eastAsia="仿宋_GB2312" w:cs="Times New Roman"/>
          <w:snapToGrid/>
          <w:color w:val="auto"/>
          <w:spacing w:val="0"/>
          <w:kern w:val="0"/>
          <w:sz w:val="32"/>
          <w:szCs w:val="32"/>
          <w:highlight w:val="none"/>
          <w:lang w:val="en-US" w:eastAsia="zh-CN" w:bidi="ar-SA"/>
        </w:rPr>
        <w:t>对</w:t>
      </w:r>
      <w:r>
        <w:rPr>
          <w:rFonts w:hint="eastAsia" w:ascii="Times New Roman" w:hAnsi="Times New Roman" w:eastAsia="仿宋_GB2312" w:cs="Times New Roman"/>
          <w:snapToGrid/>
          <w:color w:val="auto"/>
          <w:spacing w:val="0"/>
          <w:kern w:val="0"/>
          <w:sz w:val="32"/>
          <w:szCs w:val="32"/>
          <w:highlight w:val="none"/>
          <w:lang w:val="en-US" w:eastAsia="zh-CN" w:bidi="ar-SA"/>
        </w:rPr>
        <w:t>部分殡葬</w:t>
      </w:r>
      <w:r>
        <w:rPr>
          <w:rFonts w:hint="eastAsia" w:ascii="Times New Roman" w:hAnsi="Times New Roman" w:eastAsia="仿宋_GB2312" w:cs="Times New Roman"/>
          <w:snapToGrid/>
          <w:color w:val="auto"/>
          <w:spacing w:val="0"/>
          <w:kern w:val="0"/>
          <w:sz w:val="32"/>
          <w:szCs w:val="32"/>
          <w:highlight w:val="none"/>
          <w:lang w:val="en-US" w:eastAsia="zh-CN"/>
        </w:rPr>
        <w:t>用品和服务</w:t>
      </w:r>
      <w:r>
        <w:rPr>
          <w:rFonts w:hint="default" w:ascii="Times New Roman" w:hAnsi="Times New Roman" w:eastAsia="仿宋_GB2312" w:cs="Times New Roman"/>
          <w:snapToGrid/>
          <w:color w:val="auto"/>
          <w:spacing w:val="0"/>
          <w:kern w:val="0"/>
          <w:sz w:val="32"/>
          <w:szCs w:val="32"/>
          <w:highlight w:val="none"/>
          <w:lang w:val="en-US" w:eastAsia="zh-CN"/>
        </w:rPr>
        <w:t>明码标价</w:t>
      </w:r>
      <w:r>
        <w:rPr>
          <w:rFonts w:hint="eastAsia" w:ascii="Times New Roman" w:hAnsi="Times New Roman" w:eastAsia="仿宋_GB2312" w:cs="Times New Roman"/>
          <w:snapToGrid/>
          <w:color w:val="auto"/>
          <w:spacing w:val="0"/>
          <w:kern w:val="0"/>
          <w:sz w:val="32"/>
          <w:szCs w:val="32"/>
          <w:highlight w:val="none"/>
          <w:lang w:val="en-US" w:eastAsia="zh-CN"/>
        </w:rPr>
        <w:t>、不执行政府定价重复收费</w:t>
      </w:r>
      <w:r>
        <w:rPr>
          <w:rFonts w:hint="default" w:ascii="Times New Roman" w:hAnsi="Times New Roman" w:eastAsia="仿宋_GB2312" w:cs="Times New Roman"/>
          <w:snapToGrid/>
          <w:color w:val="auto"/>
          <w:spacing w:val="0"/>
          <w:kern w:val="0"/>
          <w:sz w:val="32"/>
          <w:szCs w:val="32"/>
          <w:highlight w:val="none"/>
          <w:lang w:val="en-US" w:eastAsia="zh-CN"/>
        </w:rPr>
        <w:t>和在标价之外加价出售</w:t>
      </w:r>
      <w:r>
        <w:rPr>
          <w:rFonts w:hint="eastAsia" w:ascii="Times New Roman" w:hAnsi="Times New Roman" w:eastAsia="仿宋_GB2312" w:cs="Times New Roman"/>
          <w:snapToGrid/>
          <w:color w:val="auto"/>
          <w:spacing w:val="0"/>
          <w:kern w:val="0"/>
          <w:sz w:val="32"/>
          <w:szCs w:val="32"/>
          <w:highlight w:val="none"/>
          <w:lang w:val="en-US" w:eastAsia="zh-CN"/>
        </w:rPr>
        <w:t>殡葬用品</w:t>
      </w:r>
      <w:r>
        <w:rPr>
          <w:rFonts w:hint="default" w:ascii="Times New Roman" w:hAnsi="Times New Roman" w:eastAsia="仿宋_GB2312" w:cs="Times New Roman"/>
          <w:snapToGrid/>
          <w:color w:val="auto"/>
          <w:spacing w:val="0"/>
          <w:kern w:val="0"/>
          <w:sz w:val="32"/>
          <w:szCs w:val="32"/>
          <w:highlight w:val="none"/>
          <w:lang w:val="en-US" w:eastAsia="zh-CN"/>
        </w:rPr>
        <w:t>的事实；</w:t>
      </w:r>
    </w:p>
    <w:p w14:paraId="17A53360">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11.2025年4月24日，我局执法人员依法提取当事人2025年3月7日因不执行政府定价违法行为轻微且主动退还多收取费用，依法不予立案审批表复印件1份，证明当事人不属于初次违反不执行政府定价的事实。</w:t>
      </w:r>
    </w:p>
    <w:p w14:paraId="4B6DA113">
      <w:pPr>
        <w:keepNext w:val="0"/>
        <w:keepLines w:val="0"/>
        <w:pageBreakBefore w:val="0"/>
        <w:widowControl w:val="0"/>
        <w:tabs>
          <w:tab w:val="left" w:pos="4380"/>
        </w:tabs>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以上证据材料均依照法定程序提取或收集，均由我局执法人员依法查询，符合法定形式。</w:t>
      </w:r>
    </w:p>
    <w:p w14:paraId="29C3E188">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themeColor="text1"/>
          <w:sz w:val="32"/>
          <w:szCs w:val="32"/>
          <w14:textFill>
            <w14:solidFill>
              <w14:schemeClr w14:val="tx1"/>
            </w14:solidFill>
          </w14:textFill>
        </w:rPr>
        <w:t>案件办理过程中，执法人员在现场检查、询</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问</w:t>
      </w:r>
      <w:r>
        <w:rPr>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调查</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时</w:t>
      </w:r>
      <w:r>
        <w:rPr>
          <w:rFonts w:hint="default" w:ascii="Times New Roman" w:hAnsi="Times New Roman" w:eastAsia="仿宋_GB2312" w:cs="Times New Roman"/>
          <w:color w:val="000000" w:themeColor="text1"/>
          <w:sz w:val="32"/>
          <w:szCs w:val="32"/>
          <w14:textFill>
            <w14:solidFill>
              <w14:schemeClr w14:val="tx1"/>
            </w14:solidFill>
          </w14:textFill>
        </w:rPr>
        <w:t>均告知当事人依</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法享有陈述、申辩的权利，当事人未提出陈述、申辩。202</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5</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年</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5</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月</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20</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日</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我局执法人员依法向当事人送达《</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新疆生产建设兵团</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第十四师市场监督管理局行政处罚告知书》（十四师市监罚告〔202</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5</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1</w:t>
      </w:r>
      <w:r>
        <w:rPr>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5</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号），告</w:t>
      </w:r>
      <w:r>
        <w:rPr>
          <w:rFonts w:hint="default" w:ascii="Times New Roman" w:hAnsi="Times New Roman" w:eastAsia="仿宋_GB2312" w:cs="Times New Roman"/>
          <w:color w:val="auto"/>
          <w:sz w:val="32"/>
          <w:szCs w:val="32"/>
          <w:highlight w:val="none"/>
        </w:rPr>
        <w:t>知当事人拟作出的行政处罚内容以及事实、理由、依据，并告知当事人依法享有的</w:t>
      </w:r>
      <w:r>
        <w:rPr>
          <w:rFonts w:hint="default" w:ascii="Times New Roman" w:hAnsi="Times New Roman" w:eastAsia="仿宋_GB2312" w:cs="Times New Roman"/>
          <w:color w:val="auto"/>
          <w:sz w:val="32"/>
          <w:szCs w:val="32"/>
        </w:rPr>
        <w:t>陈述、申辩的权利，当事人未在法定期限内提出陈述、申辩申请。</w:t>
      </w:r>
    </w:p>
    <w:p w14:paraId="7920FB19">
      <w:pPr>
        <w:pStyle w:val="7"/>
        <w:keepNext w:val="0"/>
        <w:keepLines w:val="0"/>
        <w:pageBreakBefore w:val="0"/>
        <w:widowControl w:val="0"/>
        <w:kinsoku/>
        <w:wordWrap/>
        <w:overflowPunct/>
        <w:topLinePunct/>
        <w:autoSpaceDE w:val="0"/>
        <w:autoSpaceDN/>
        <w:bidi w:val="0"/>
        <w:adjustRightInd/>
        <w:snapToGrid/>
        <w:spacing w:line="560" w:lineRule="exact"/>
        <w:ind w:left="0" w:firstLine="640"/>
        <w:jc w:val="both"/>
        <w:textAlignment w:val="auto"/>
        <w:rPr>
          <w:rFonts w:hint="default" w:ascii="Times New Roman" w:hAnsi="Times New Roman" w:eastAsia="仿宋_GB2312" w:cs="Times New Roman"/>
          <w:b w:val="0"/>
          <w:bCs w:val="0"/>
          <w:spacing w:val="0"/>
          <w:sz w:val="32"/>
          <w:szCs w:val="32"/>
          <w:lang w:val="en-US" w:eastAsia="zh-CN"/>
        </w:rPr>
      </w:pPr>
      <w:r>
        <w:rPr>
          <w:rFonts w:hint="default" w:ascii="Times New Roman" w:hAnsi="Times New Roman" w:eastAsia="仿宋_GB2312" w:cs="Times New Roman"/>
          <w:b/>
          <w:color w:val="auto"/>
          <w:sz w:val="32"/>
          <w:szCs w:val="32"/>
        </w:rPr>
        <w:t>本局认为</w:t>
      </w:r>
      <w:r>
        <w:rPr>
          <w:rFonts w:hint="default" w:ascii="Times New Roman" w:hAnsi="Times New Roman" w:eastAsia="仿宋_GB2312" w:cs="Times New Roman"/>
          <w:bCs/>
          <w:color w:val="auto"/>
          <w:sz w:val="32"/>
          <w:szCs w:val="32"/>
        </w:rPr>
        <w:t>，</w:t>
      </w:r>
      <w:r>
        <w:rPr>
          <w:rFonts w:hint="default" w:ascii="Times New Roman" w:hAnsi="Times New Roman" w:eastAsia="仿宋_GB2312" w:cs="Times New Roman"/>
          <w:color w:val="auto"/>
          <w:spacing w:val="0"/>
          <w:sz w:val="32"/>
          <w:szCs w:val="32"/>
          <w:highlight w:val="none"/>
        </w:rPr>
        <w:t>当事人</w:t>
      </w:r>
      <w:r>
        <w:rPr>
          <w:rFonts w:hint="eastAsia" w:ascii="Times New Roman" w:hAnsi="Times New Roman" w:eastAsia="仿宋_GB2312" w:cs="Times New Roman"/>
          <w:snapToGrid/>
          <w:color w:val="auto"/>
          <w:spacing w:val="0"/>
          <w:kern w:val="0"/>
          <w:sz w:val="32"/>
          <w:szCs w:val="32"/>
          <w:highlight w:val="none"/>
          <w:lang w:val="en-US" w:eastAsia="zh-CN"/>
        </w:rPr>
        <w:t>在收取火化费的同时重复收费捡骨灰费的行为，违反了《中华人民共和国价格法》第十二条“经营者进行价格活动，应当遵守法律法规，执行依法制定的政府指导价、政府定价和法定的价格干预措施、紧急措施。”和《</w:t>
      </w:r>
      <w:r>
        <w:rPr>
          <w:rFonts w:hint="eastAsia" w:ascii="Times New Roman" w:hAnsi="Times New Roman" w:eastAsia="仿宋_GB2312" w:cs="Times New Roman"/>
          <w:color w:val="auto"/>
          <w:spacing w:val="0"/>
          <w:sz w:val="32"/>
          <w:szCs w:val="32"/>
          <w:highlight w:val="none"/>
          <w:lang w:val="en-US" w:eastAsia="zh-CN"/>
        </w:rPr>
        <w:t>价格违法行为行政处罚规定</w:t>
      </w:r>
      <w:r>
        <w:rPr>
          <w:rFonts w:hint="eastAsia" w:ascii="Times New Roman" w:hAnsi="Times New Roman" w:eastAsia="仿宋_GB2312" w:cs="Times New Roman"/>
          <w:snapToGrid/>
          <w:color w:val="auto"/>
          <w:spacing w:val="0"/>
          <w:kern w:val="0"/>
          <w:sz w:val="32"/>
          <w:szCs w:val="32"/>
          <w:highlight w:val="none"/>
          <w:lang w:val="en-US" w:eastAsia="zh-CN"/>
        </w:rPr>
        <w:t>》第九条第六项“经营者不执行政府指导价、政府定价，有下列行为之一的……（六）采取分解收费项目、重复收费、扩大收费范围等方式变相提高收费标准的；……”的规定，构成不执行政府定价的违法行为</w:t>
      </w:r>
      <w:r>
        <w:rPr>
          <w:rFonts w:hint="default" w:ascii="Times New Roman" w:hAnsi="Times New Roman" w:eastAsia="仿宋_GB2312" w:cs="Times New Roman"/>
          <w:color w:val="auto"/>
          <w:spacing w:val="0"/>
          <w:sz w:val="32"/>
          <w:szCs w:val="32"/>
          <w:highlight w:val="none"/>
        </w:rPr>
        <w:t>。</w:t>
      </w:r>
      <w:r>
        <w:rPr>
          <w:rFonts w:hint="eastAsia" w:ascii="Times New Roman" w:hAnsi="Times New Roman" w:eastAsia="仿宋_GB2312" w:cs="Times New Roman"/>
          <w:snapToGrid/>
          <w:color w:val="auto"/>
          <w:spacing w:val="0"/>
          <w:kern w:val="0"/>
          <w:sz w:val="32"/>
          <w:szCs w:val="32"/>
          <w:highlight w:val="none"/>
          <w:lang w:val="en-US" w:eastAsia="zh-CN"/>
        </w:rPr>
        <w:t>依据《中华人民共和国价格法》第三十九条“经营者不执行政府指导价、政府定价以及法定的价格干预措施、紧急措施的，责令改正，没收违法所得，可以并处违法所得五倍以下的罚款；没有违法所得的，可以处以罚款；情节严重的，责令停业整顿。”和</w:t>
      </w:r>
      <w:r>
        <w:rPr>
          <w:rFonts w:hint="eastAsia" w:ascii="Times New Roman" w:hAnsi="Times New Roman" w:eastAsia="仿宋_GB2312" w:cs="Times New Roman"/>
          <w:color w:val="auto"/>
          <w:spacing w:val="0"/>
          <w:sz w:val="32"/>
          <w:szCs w:val="32"/>
          <w:highlight w:val="none"/>
          <w:lang w:val="en-US" w:eastAsia="zh-CN"/>
        </w:rPr>
        <w:t>《价格违法行为行政处罚规定》第九条第六项“经营者不执行政府指导价、政府定价，有下列行为之一的，责令改正，没收违法所得，并处违法所得5倍以下的罚款；没有违法所得的，处5万元以上50万元以下的罚款，情节较重的处50万元以上200万元以下的罚款；情节严重的，责令停业整顿：……（六）采取分解收费项目、重复收费、扩大收费范围等方式变相提高收费标准的；……”的规定</w:t>
      </w:r>
      <w:r>
        <w:rPr>
          <w:rFonts w:hint="default" w:ascii="Times New Roman" w:hAnsi="Times New Roman" w:eastAsia="仿宋_GB2312" w:cs="Times New Roman"/>
          <w:color w:val="auto"/>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本机关应当责令</w:t>
      </w:r>
      <w:r>
        <w:rPr>
          <w:rFonts w:hint="eastAsia" w:ascii="Times New Roman" w:hAnsi="Times New Roman" w:eastAsia="仿宋_GB2312" w:cs="Times New Roman"/>
          <w:color w:val="auto"/>
          <w:spacing w:val="0"/>
          <w:sz w:val="32"/>
          <w:szCs w:val="32"/>
          <w:highlight w:val="none"/>
          <w:lang w:val="en-US" w:eastAsia="zh-CN"/>
        </w:rPr>
        <w:t>当事人</w:t>
      </w:r>
      <w:r>
        <w:rPr>
          <w:rFonts w:hint="default" w:ascii="Times New Roman" w:hAnsi="Times New Roman" w:eastAsia="仿宋_GB2312" w:cs="Times New Roman"/>
          <w:b w:val="0"/>
          <w:bCs w:val="0"/>
          <w:spacing w:val="0"/>
          <w:sz w:val="32"/>
          <w:szCs w:val="32"/>
          <w:lang w:val="en-US" w:eastAsia="zh-CN"/>
        </w:rPr>
        <w:t>立即</w:t>
      </w:r>
      <w:r>
        <w:rPr>
          <w:rFonts w:hint="default" w:ascii="Times New Roman" w:hAnsi="Times New Roman" w:eastAsia="仿宋_GB2312" w:cs="Times New Roman"/>
          <w:color w:val="auto"/>
          <w:sz w:val="32"/>
          <w:szCs w:val="32"/>
          <w:lang w:val="en-US" w:eastAsia="zh-CN"/>
        </w:rPr>
        <w:t>改正违法行为</w:t>
      </w:r>
      <w:r>
        <w:rPr>
          <w:rFonts w:hint="default" w:ascii="Times New Roman" w:hAnsi="Times New Roman" w:eastAsia="仿宋_GB2312" w:cs="Times New Roman"/>
          <w:b w:val="0"/>
          <w:bCs w:val="0"/>
          <w:spacing w:val="0"/>
          <w:sz w:val="32"/>
          <w:szCs w:val="32"/>
          <w:lang w:val="en-US" w:eastAsia="zh-CN"/>
        </w:rPr>
        <w:t>，</w:t>
      </w:r>
      <w:r>
        <w:rPr>
          <w:rFonts w:hint="eastAsia" w:ascii="Times New Roman" w:hAnsi="Times New Roman" w:eastAsia="仿宋_GB2312" w:cs="Times New Roman"/>
          <w:color w:val="auto"/>
          <w:spacing w:val="0"/>
          <w:sz w:val="32"/>
          <w:szCs w:val="32"/>
          <w:highlight w:val="none"/>
          <w:lang w:val="en-US" w:eastAsia="zh-CN"/>
        </w:rPr>
        <w:t>没收违法所得，</w:t>
      </w:r>
      <w:r>
        <w:rPr>
          <w:rFonts w:hint="default" w:ascii="Times New Roman" w:hAnsi="Times New Roman" w:eastAsia="仿宋_GB2312" w:cs="Times New Roman"/>
          <w:color w:val="auto"/>
          <w:sz w:val="32"/>
          <w:szCs w:val="32"/>
          <w:highlight w:val="none"/>
          <w:lang w:val="en-US" w:eastAsia="zh-CN"/>
        </w:rPr>
        <w:t>并处</w:t>
      </w:r>
      <w:r>
        <w:rPr>
          <w:rFonts w:hint="eastAsia" w:ascii="Times New Roman" w:hAnsi="Times New Roman" w:eastAsia="仿宋_GB2312" w:cs="Times New Roman"/>
          <w:color w:val="auto"/>
          <w:sz w:val="32"/>
          <w:szCs w:val="32"/>
          <w:highlight w:val="none"/>
          <w:lang w:val="en-US" w:eastAsia="zh-CN"/>
        </w:rPr>
        <w:t>违法所得5倍以下</w:t>
      </w:r>
      <w:r>
        <w:rPr>
          <w:rFonts w:hint="default" w:ascii="Times New Roman" w:hAnsi="Times New Roman" w:eastAsia="仿宋_GB2312" w:cs="Times New Roman"/>
          <w:color w:val="auto"/>
          <w:sz w:val="32"/>
          <w:szCs w:val="32"/>
          <w:highlight w:val="none"/>
          <w:lang w:val="en-US" w:eastAsia="zh-CN"/>
        </w:rPr>
        <w:t>罚款</w:t>
      </w:r>
      <w:r>
        <w:rPr>
          <w:rFonts w:hint="eastAsia" w:ascii="Times New Roman" w:hAnsi="Times New Roman" w:eastAsia="仿宋_GB2312" w:cs="Times New Roman"/>
          <w:color w:val="auto"/>
          <w:sz w:val="32"/>
          <w:szCs w:val="32"/>
          <w:highlight w:val="none"/>
          <w:lang w:val="en-US" w:eastAsia="zh-CN"/>
        </w:rPr>
        <w:t>的行政处罚</w:t>
      </w:r>
      <w:r>
        <w:rPr>
          <w:rFonts w:hint="default" w:ascii="Times New Roman" w:hAnsi="Times New Roman" w:eastAsia="仿宋_GB2312" w:cs="Times New Roman"/>
          <w:b w:val="0"/>
          <w:bCs w:val="0"/>
          <w:spacing w:val="0"/>
          <w:sz w:val="32"/>
          <w:szCs w:val="32"/>
          <w:lang w:val="en-US" w:eastAsia="zh-CN"/>
        </w:rPr>
        <w:t>。</w:t>
      </w:r>
    </w:p>
    <w:p w14:paraId="354ABC8F">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b w:val="0"/>
          <w:bCs w:val="0"/>
          <w:spacing w:val="0"/>
          <w:sz w:val="32"/>
          <w:szCs w:val="32"/>
          <w:lang w:val="en-US" w:eastAsia="zh-CN"/>
        </w:rPr>
      </w:pPr>
      <w:r>
        <w:rPr>
          <w:rFonts w:hint="eastAsia" w:ascii="Times New Roman" w:hAnsi="Times New Roman" w:eastAsia="仿宋_GB2312" w:cs="Times New Roman"/>
          <w:snapToGrid/>
          <w:color w:val="auto"/>
          <w:spacing w:val="0"/>
          <w:kern w:val="0"/>
          <w:sz w:val="32"/>
          <w:szCs w:val="32"/>
          <w:lang w:val="en-US" w:eastAsia="zh-CN"/>
        </w:rPr>
        <w:t>当事人</w:t>
      </w:r>
      <w:r>
        <w:rPr>
          <w:rFonts w:hint="eastAsia" w:ascii="Times New Roman" w:hAnsi="Times New Roman" w:eastAsia="仿宋_GB2312" w:cs="Times New Roman"/>
          <w:snapToGrid/>
          <w:color w:val="auto"/>
          <w:spacing w:val="0"/>
          <w:kern w:val="0"/>
          <w:sz w:val="32"/>
          <w:szCs w:val="32"/>
          <w:highlight w:val="none"/>
          <w:lang w:val="en-US" w:eastAsia="zh-CN"/>
        </w:rPr>
        <w:t>未按规定对灵牌、登记本（礼金簿）等6种商品进行明码标价</w:t>
      </w:r>
      <w:r>
        <w:rPr>
          <w:rFonts w:hint="default" w:ascii="Times New Roman" w:hAnsi="Times New Roman" w:eastAsia="仿宋_GB2312" w:cs="Times New Roman"/>
          <w:snapToGrid/>
          <w:color w:val="auto"/>
          <w:spacing w:val="0"/>
          <w:kern w:val="0"/>
          <w:sz w:val="32"/>
          <w:szCs w:val="32"/>
          <w:highlight w:val="none"/>
          <w:lang w:val="en-US" w:eastAsia="zh-CN"/>
        </w:rPr>
        <w:t>的行为，违反了《中华人民共和国价格法》第十</w:t>
      </w:r>
      <w:r>
        <w:rPr>
          <w:rFonts w:hint="eastAsia" w:ascii="Times New Roman" w:hAnsi="Times New Roman" w:eastAsia="仿宋_GB2312" w:cs="Times New Roman"/>
          <w:snapToGrid/>
          <w:color w:val="auto"/>
          <w:spacing w:val="0"/>
          <w:kern w:val="0"/>
          <w:sz w:val="32"/>
          <w:szCs w:val="32"/>
          <w:highlight w:val="none"/>
          <w:lang w:val="en-US" w:eastAsia="zh-CN"/>
        </w:rPr>
        <w:t>三</w:t>
      </w:r>
      <w:r>
        <w:rPr>
          <w:rFonts w:hint="default" w:ascii="Times New Roman" w:hAnsi="Times New Roman" w:eastAsia="仿宋_GB2312" w:cs="Times New Roman"/>
          <w:snapToGrid/>
          <w:color w:val="auto"/>
          <w:spacing w:val="0"/>
          <w:kern w:val="0"/>
          <w:sz w:val="32"/>
          <w:szCs w:val="32"/>
          <w:highlight w:val="none"/>
          <w:lang w:val="en-US" w:eastAsia="zh-CN"/>
        </w:rPr>
        <w:t>条</w:t>
      </w:r>
      <w:r>
        <w:rPr>
          <w:rFonts w:hint="eastAsia" w:ascii="Times New Roman" w:hAnsi="Times New Roman" w:eastAsia="仿宋_GB2312" w:cs="Times New Roman"/>
          <w:snapToGrid/>
          <w:color w:val="auto"/>
          <w:spacing w:val="0"/>
          <w:kern w:val="0"/>
          <w:sz w:val="32"/>
          <w:szCs w:val="32"/>
          <w:highlight w:val="none"/>
          <w:lang w:val="en-US" w:eastAsia="zh-CN"/>
        </w:rPr>
        <w:t>第一款</w:t>
      </w:r>
      <w:r>
        <w:rPr>
          <w:rFonts w:hint="default" w:ascii="Times New Roman" w:hAnsi="Times New Roman" w:eastAsia="仿宋_GB2312" w:cs="Times New Roman"/>
          <w:snapToGrid/>
          <w:color w:val="auto"/>
          <w:spacing w:val="0"/>
          <w:kern w:val="0"/>
          <w:sz w:val="32"/>
          <w:szCs w:val="32"/>
          <w:highlight w:val="none"/>
          <w:lang w:val="en-US" w:eastAsia="zh-CN"/>
        </w:rPr>
        <w:t>“经营者销售、收购商品和提供服务，应当按照政府价格主管部门的规定明码标价，注明商品的品名、产地、规格、等级、计价单位、价格或者服务的项目、收费标准等有关情况。”</w:t>
      </w:r>
      <w:r>
        <w:rPr>
          <w:rFonts w:hint="eastAsia" w:ascii="Times New Roman" w:hAnsi="Times New Roman" w:eastAsia="仿宋_GB2312" w:cs="Times New Roman"/>
          <w:snapToGrid/>
          <w:color w:val="auto"/>
          <w:spacing w:val="0"/>
          <w:kern w:val="0"/>
          <w:sz w:val="32"/>
          <w:szCs w:val="32"/>
          <w:highlight w:val="none"/>
          <w:lang w:val="en-US" w:eastAsia="zh-CN"/>
        </w:rPr>
        <w:t>和《</w:t>
      </w:r>
      <w:r>
        <w:rPr>
          <w:rFonts w:hint="eastAsia" w:ascii="Times New Roman" w:hAnsi="Times New Roman" w:eastAsia="仿宋_GB2312" w:cs="Times New Roman"/>
          <w:color w:val="auto"/>
          <w:spacing w:val="0"/>
          <w:sz w:val="32"/>
          <w:szCs w:val="32"/>
          <w:highlight w:val="none"/>
          <w:lang w:val="en-US" w:eastAsia="zh-CN"/>
        </w:rPr>
        <w:t>价格违法行为行政处罚规定</w:t>
      </w:r>
      <w:r>
        <w:rPr>
          <w:rFonts w:hint="eastAsia" w:ascii="Times New Roman" w:hAnsi="Times New Roman" w:eastAsia="仿宋_GB2312" w:cs="Times New Roman"/>
          <w:snapToGrid/>
          <w:color w:val="auto"/>
          <w:spacing w:val="0"/>
          <w:kern w:val="0"/>
          <w:sz w:val="32"/>
          <w:szCs w:val="32"/>
          <w:highlight w:val="none"/>
          <w:lang w:val="en-US" w:eastAsia="zh-CN"/>
        </w:rPr>
        <w:t>》第十三条第一项“经营者违反明码标价规定，有下列行为之一的，……（一）未按规定明码标价的；……”</w:t>
      </w:r>
      <w:r>
        <w:rPr>
          <w:rFonts w:hint="default" w:ascii="Times New Roman" w:hAnsi="Times New Roman" w:eastAsia="仿宋_GB2312" w:cs="Times New Roman"/>
          <w:snapToGrid/>
          <w:color w:val="auto"/>
          <w:spacing w:val="0"/>
          <w:kern w:val="0"/>
          <w:sz w:val="32"/>
          <w:szCs w:val="32"/>
          <w:highlight w:val="none"/>
          <w:lang w:val="en-US" w:eastAsia="zh-CN"/>
        </w:rPr>
        <w:t>的规定，</w:t>
      </w:r>
      <w:r>
        <w:rPr>
          <w:rFonts w:hint="eastAsia" w:ascii="Times New Roman" w:hAnsi="Times New Roman" w:eastAsia="仿宋_GB2312" w:cs="Times New Roman"/>
          <w:snapToGrid/>
          <w:color w:val="auto"/>
          <w:spacing w:val="0"/>
          <w:kern w:val="0"/>
          <w:sz w:val="32"/>
          <w:szCs w:val="32"/>
          <w:highlight w:val="none"/>
          <w:lang w:val="en-US" w:eastAsia="zh-CN"/>
        </w:rPr>
        <w:t>构成销售商品未按规定明码标价</w:t>
      </w:r>
      <w:r>
        <w:rPr>
          <w:rFonts w:hint="default" w:ascii="Times New Roman" w:hAnsi="Times New Roman" w:eastAsia="仿宋_GB2312" w:cs="Times New Roman"/>
          <w:snapToGrid/>
          <w:color w:val="auto"/>
          <w:spacing w:val="0"/>
          <w:kern w:val="0"/>
          <w:sz w:val="32"/>
          <w:szCs w:val="32"/>
          <w:highlight w:val="none"/>
          <w:lang w:val="en-US" w:eastAsia="zh-CN"/>
        </w:rPr>
        <w:t>的违法行为。依据《中华人民共和国</w:t>
      </w:r>
      <w:r>
        <w:rPr>
          <w:rFonts w:hint="eastAsia" w:ascii="Times New Roman" w:hAnsi="Times New Roman" w:eastAsia="仿宋_GB2312" w:cs="Times New Roman"/>
          <w:snapToGrid/>
          <w:color w:val="auto"/>
          <w:spacing w:val="0"/>
          <w:kern w:val="0"/>
          <w:sz w:val="32"/>
          <w:szCs w:val="32"/>
          <w:highlight w:val="none"/>
          <w:lang w:val="en-US" w:eastAsia="zh-CN"/>
        </w:rPr>
        <w:t>价格</w:t>
      </w:r>
      <w:r>
        <w:rPr>
          <w:rFonts w:hint="default" w:ascii="Times New Roman" w:hAnsi="Times New Roman" w:eastAsia="仿宋_GB2312" w:cs="Times New Roman"/>
          <w:snapToGrid/>
          <w:color w:val="auto"/>
          <w:spacing w:val="0"/>
          <w:kern w:val="0"/>
          <w:sz w:val="32"/>
          <w:szCs w:val="32"/>
          <w:highlight w:val="none"/>
          <w:lang w:val="en-US" w:eastAsia="zh-CN"/>
        </w:rPr>
        <w:t>法》第</w:t>
      </w:r>
      <w:r>
        <w:rPr>
          <w:rFonts w:hint="eastAsia" w:ascii="Times New Roman" w:hAnsi="Times New Roman" w:eastAsia="仿宋_GB2312" w:cs="Times New Roman"/>
          <w:snapToGrid/>
          <w:color w:val="auto"/>
          <w:spacing w:val="0"/>
          <w:kern w:val="0"/>
          <w:sz w:val="32"/>
          <w:szCs w:val="32"/>
          <w:highlight w:val="none"/>
          <w:lang w:val="en-US" w:eastAsia="zh-CN"/>
        </w:rPr>
        <w:t>四十二</w:t>
      </w:r>
      <w:r>
        <w:rPr>
          <w:rFonts w:hint="default" w:ascii="Times New Roman" w:hAnsi="Times New Roman" w:eastAsia="仿宋_GB2312" w:cs="Times New Roman"/>
          <w:snapToGrid/>
          <w:color w:val="auto"/>
          <w:spacing w:val="0"/>
          <w:kern w:val="0"/>
          <w:sz w:val="32"/>
          <w:szCs w:val="32"/>
          <w:highlight w:val="none"/>
          <w:lang w:val="en-US" w:eastAsia="zh-CN"/>
        </w:rPr>
        <w:t>条</w:t>
      </w:r>
      <w:r>
        <w:rPr>
          <w:rFonts w:hint="default" w:ascii="Times New Roman" w:hAnsi="Times New Roman" w:eastAsia="仿宋_GB2312" w:cs="Times New Roman"/>
          <w:color w:val="auto"/>
          <w:spacing w:val="4"/>
          <w:sz w:val="32"/>
          <w:szCs w:val="32"/>
          <w:highlight w:val="none"/>
          <w:lang w:val="en-US" w:eastAsia="zh-CN"/>
        </w:rPr>
        <w:t>“经营者违反明码标价规定的，责令改正，没收违法所得，可以并处五千元以下的罚款</w:t>
      </w:r>
      <w:r>
        <w:rPr>
          <w:rFonts w:hint="eastAsia" w:ascii="Times New Roman" w:hAnsi="Times New Roman" w:eastAsia="仿宋_GB2312" w:cs="Times New Roman"/>
          <w:color w:val="auto"/>
          <w:spacing w:val="4"/>
          <w:sz w:val="32"/>
          <w:szCs w:val="32"/>
          <w:highlight w:val="none"/>
          <w:lang w:val="en-US" w:eastAsia="zh-CN"/>
        </w:rPr>
        <w:t>。</w:t>
      </w:r>
      <w:r>
        <w:rPr>
          <w:rFonts w:hint="default" w:ascii="Times New Roman" w:hAnsi="Times New Roman" w:eastAsia="仿宋_GB2312" w:cs="Times New Roman"/>
          <w:color w:val="auto"/>
          <w:spacing w:val="4"/>
          <w:sz w:val="32"/>
          <w:szCs w:val="32"/>
          <w:highlight w:val="none"/>
          <w:lang w:val="en-US" w:eastAsia="zh-CN"/>
        </w:rPr>
        <w:t>”</w:t>
      </w:r>
      <w:r>
        <w:rPr>
          <w:rFonts w:hint="eastAsia" w:ascii="Times New Roman" w:hAnsi="Times New Roman" w:eastAsia="仿宋_GB2312" w:cs="Times New Roman"/>
          <w:color w:val="auto"/>
          <w:spacing w:val="4"/>
          <w:sz w:val="32"/>
          <w:szCs w:val="32"/>
          <w:highlight w:val="none"/>
          <w:lang w:val="en-US" w:eastAsia="zh-CN"/>
        </w:rPr>
        <w:t>和</w:t>
      </w:r>
      <w:r>
        <w:rPr>
          <w:rFonts w:hint="eastAsia" w:ascii="Times New Roman" w:hAnsi="Times New Roman" w:eastAsia="仿宋_GB2312" w:cs="Times New Roman"/>
          <w:color w:val="auto"/>
          <w:spacing w:val="0"/>
          <w:sz w:val="32"/>
          <w:szCs w:val="32"/>
          <w:highlight w:val="none"/>
          <w:lang w:val="en-US" w:eastAsia="zh-CN"/>
        </w:rPr>
        <w:t>《价格违法行为行政处罚规定》第十三条</w:t>
      </w:r>
      <w:r>
        <w:rPr>
          <w:rFonts w:hint="eastAsia" w:ascii="Times New Roman" w:hAnsi="Times New Roman" w:eastAsia="仿宋_GB2312" w:cs="Times New Roman"/>
          <w:snapToGrid/>
          <w:color w:val="auto"/>
          <w:spacing w:val="0"/>
          <w:kern w:val="0"/>
          <w:sz w:val="32"/>
          <w:szCs w:val="32"/>
          <w:highlight w:val="none"/>
          <w:lang w:val="en-US" w:eastAsia="zh-CN"/>
        </w:rPr>
        <w:t>第一项“经营者违反明码标价规定，有下列行为之一的，责令改正，没收违法所得，可以并处5000元以下的罚款：（一）未按规定明码标价的；……”</w:t>
      </w:r>
      <w:r>
        <w:rPr>
          <w:rFonts w:hint="default" w:ascii="Times New Roman" w:hAnsi="Times New Roman" w:eastAsia="仿宋_GB2312" w:cs="Times New Roman"/>
          <w:snapToGrid/>
          <w:color w:val="auto"/>
          <w:spacing w:val="0"/>
          <w:kern w:val="0"/>
          <w:sz w:val="32"/>
          <w:szCs w:val="32"/>
          <w:highlight w:val="none"/>
          <w:lang w:val="en-US" w:eastAsia="zh-CN"/>
        </w:rPr>
        <w:t>的规定，</w:t>
      </w:r>
      <w:r>
        <w:rPr>
          <w:rFonts w:hint="default" w:ascii="Times New Roman" w:hAnsi="Times New Roman" w:eastAsia="仿宋_GB2312" w:cs="Times New Roman"/>
          <w:color w:val="auto"/>
          <w:spacing w:val="0"/>
          <w:sz w:val="32"/>
          <w:szCs w:val="32"/>
          <w:highlight w:val="none"/>
          <w:lang w:val="en-US" w:eastAsia="zh-CN"/>
        </w:rPr>
        <w:t>本机关应当责令</w:t>
      </w:r>
      <w:r>
        <w:rPr>
          <w:rFonts w:hint="eastAsia" w:ascii="Times New Roman" w:hAnsi="Times New Roman" w:eastAsia="仿宋_GB2312" w:cs="Times New Roman"/>
          <w:color w:val="auto"/>
          <w:spacing w:val="0"/>
          <w:sz w:val="32"/>
          <w:szCs w:val="32"/>
          <w:highlight w:val="none"/>
          <w:lang w:val="en-US" w:eastAsia="zh-CN"/>
        </w:rPr>
        <w:t>当事人</w:t>
      </w:r>
      <w:r>
        <w:rPr>
          <w:rFonts w:hint="default" w:ascii="Times New Roman" w:hAnsi="Times New Roman" w:eastAsia="仿宋_GB2312" w:cs="Times New Roman"/>
          <w:b w:val="0"/>
          <w:bCs w:val="0"/>
          <w:spacing w:val="0"/>
          <w:sz w:val="32"/>
          <w:szCs w:val="32"/>
          <w:lang w:val="en-US" w:eastAsia="zh-CN"/>
        </w:rPr>
        <w:t>立即</w:t>
      </w:r>
      <w:r>
        <w:rPr>
          <w:rFonts w:hint="default" w:ascii="Times New Roman" w:hAnsi="Times New Roman" w:eastAsia="仿宋_GB2312" w:cs="Times New Roman"/>
          <w:color w:val="auto"/>
          <w:sz w:val="32"/>
          <w:szCs w:val="32"/>
          <w:lang w:val="en-US" w:eastAsia="zh-CN"/>
        </w:rPr>
        <w:t>改正违法行为</w:t>
      </w:r>
      <w:r>
        <w:rPr>
          <w:rFonts w:hint="default" w:ascii="Times New Roman" w:hAnsi="Times New Roman" w:eastAsia="仿宋_GB2312" w:cs="Times New Roman"/>
          <w:b w:val="0"/>
          <w:bCs w:val="0"/>
          <w:spacing w:val="0"/>
          <w:sz w:val="32"/>
          <w:szCs w:val="32"/>
          <w:lang w:val="en-US" w:eastAsia="zh-CN"/>
        </w:rPr>
        <w:t>，</w:t>
      </w:r>
      <w:r>
        <w:rPr>
          <w:rFonts w:hint="eastAsia" w:ascii="Times New Roman" w:hAnsi="Times New Roman" w:eastAsia="仿宋_GB2312" w:cs="Times New Roman"/>
          <w:snapToGrid/>
          <w:color w:val="auto"/>
          <w:spacing w:val="0"/>
          <w:kern w:val="0"/>
          <w:sz w:val="32"/>
          <w:szCs w:val="32"/>
          <w:highlight w:val="none"/>
          <w:lang w:val="en-US" w:eastAsia="zh-CN"/>
        </w:rPr>
        <w:t>没收违法所得，</w:t>
      </w:r>
      <w:r>
        <w:rPr>
          <w:rFonts w:hint="eastAsia" w:ascii="Times New Roman" w:hAnsi="Times New Roman" w:eastAsia="仿宋_GB2312" w:cs="Times New Roman"/>
          <w:color w:val="auto"/>
          <w:sz w:val="32"/>
          <w:szCs w:val="32"/>
          <w:highlight w:val="none"/>
          <w:lang w:val="en-US" w:eastAsia="zh-CN"/>
        </w:rPr>
        <w:t>可以</w:t>
      </w:r>
      <w:r>
        <w:rPr>
          <w:rFonts w:hint="default" w:ascii="Times New Roman" w:hAnsi="Times New Roman" w:eastAsia="仿宋_GB2312" w:cs="Times New Roman"/>
          <w:color w:val="auto"/>
          <w:sz w:val="32"/>
          <w:szCs w:val="32"/>
          <w:highlight w:val="none"/>
          <w:lang w:val="en-US" w:eastAsia="zh-CN"/>
        </w:rPr>
        <w:t>并处</w:t>
      </w:r>
      <w:r>
        <w:rPr>
          <w:rFonts w:hint="eastAsia" w:ascii="Times New Roman" w:hAnsi="Times New Roman" w:eastAsia="仿宋_GB2312" w:cs="Times New Roman"/>
          <w:color w:val="auto"/>
          <w:sz w:val="32"/>
          <w:szCs w:val="32"/>
          <w:highlight w:val="none"/>
          <w:lang w:val="en-US" w:eastAsia="zh-CN"/>
        </w:rPr>
        <w:t>5000元以下</w:t>
      </w:r>
      <w:r>
        <w:rPr>
          <w:rFonts w:hint="default" w:ascii="Times New Roman" w:hAnsi="Times New Roman" w:eastAsia="仿宋_GB2312" w:cs="Times New Roman"/>
          <w:color w:val="auto"/>
          <w:sz w:val="32"/>
          <w:szCs w:val="32"/>
          <w:highlight w:val="none"/>
          <w:lang w:val="en-US" w:eastAsia="zh-CN"/>
        </w:rPr>
        <w:t>罚款</w:t>
      </w:r>
      <w:r>
        <w:rPr>
          <w:rFonts w:hint="eastAsia" w:ascii="Times New Roman" w:hAnsi="Times New Roman" w:eastAsia="仿宋_GB2312" w:cs="Times New Roman"/>
          <w:color w:val="auto"/>
          <w:sz w:val="32"/>
          <w:szCs w:val="32"/>
          <w:highlight w:val="none"/>
          <w:lang w:val="en-US" w:eastAsia="zh-CN"/>
        </w:rPr>
        <w:t>的行政处罚</w:t>
      </w:r>
      <w:r>
        <w:rPr>
          <w:rFonts w:hint="default" w:ascii="Times New Roman" w:hAnsi="Times New Roman" w:eastAsia="仿宋_GB2312" w:cs="Times New Roman"/>
          <w:b w:val="0"/>
          <w:bCs w:val="0"/>
          <w:spacing w:val="0"/>
          <w:sz w:val="32"/>
          <w:szCs w:val="32"/>
          <w:lang w:val="en-US" w:eastAsia="zh-CN"/>
        </w:rPr>
        <w:t>。</w:t>
      </w:r>
    </w:p>
    <w:p w14:paraId="610B085C">
      <w:pPr>
        <w:pStyle w:val="7"/>
        <w:keepNext w:val="0"/>
        <w:keepLines w:val="0"/>
        <w:pageBreakBefore w:val="0"/>
        <w:widowControl w:val="0"/>
        <w:kinsoku/>
        <w:wordWrap/>
        <w:overflowPunct/>
        <w:topLinePunct/>
        <w:autoSpaceDE w:val="0"/>
        <w:autoSpaceDN/>
        <w:bidi w:val="0"/>
        <w:adjustRightInd/>
        <w:snapToGrid/>
        <w:spacing w:line="560" w:lineRule="exact"/>
        <w:ind w:left="0" w:firstLine="640"/>
        <w:jc w:val="both"/>
        <w:textAlignment w:val="auto"/>
        <w:rPr>
          <w:rFonts w:hint="default" w:ascii="Times New Roman" w:hAnsi="Times New Roman" w:eastAsia="仿宋_GB2312" w:cs="Times New Roman"/>
          <w:b w:val="0"/>
          <w:bCs w:val="0"/>
          <w:spacing w:val="0"/>
          <w:sz w:val="32"/>
          <w:szCs w:val="32"/>
          <w:lang w:val="en-US" w:eastAsia="zh-CN"/>
        </w:rPr>
      </w:pPr>
      <w:r>
        <w:rPr>
          <w:rFonts w:hint="eastAsia" w:ascii="Times New Roman" w:hAnsi="Times New Roman" w:eastAsia="仿宋_GB2312" w:cs="Times New Roman"/>
          <w:snapToGrid/>
          <w:color w:val="auto"/>
          <w:spacing w:val="0"/>
          <w:kern w:val="0"/>
          <w:sz w:val="32"/>
          <w:szCs w:val="32"/>
          <w:lang w:val="en-US" w:eastAsia="zh-CN"/>
        </w:rPr>
        <w:t>当事人</w:t>
      </w:r>
      <w:r>
        <w:rPr>
          <w:rFonts w:hint="eastAsia" w:ascii="Times New Roman" w:hAnsi="Times New Roman" w:eastAsia="仿宋_GB2312" w:cs="Times New Roman"/>
          <w:snapToGrid/>
          <w:color w:val="auto"/>
          <w:spacing w:val="0"/>
          <w:kern w:val="0"/>
          <w:sz w:val="32"/>
          <w:szCs w:val="32"/>
          <w:highlight w:val="none"/>
          <w:lang w:val="en-US" w:eastAsia="zh-CN"/>
        </w:rPr>
        <w:t>销售小白花、盖布等商品超出公示价格收取费用的行为，违反了</w:t>
      </w:r>
      <w:r>
        <w:rPr>
          <w:rFonts w:hint="default" w:ascii="Times New Roman" w:hAnsi="Times New Roman" w:eastAsia="仿宋_GB2312" w:cs="Times New Roman"/>
          <w:snapToGrid/>
          <w:color w:val="auto"/>
          <w:spacing w:val="0"/>
          <w:kern w:val="0"/>
          <w:sz w:val="32"/>
          <w:szCs w:val="32"/>
          <w:highlight w:val="none"/>
          <w:lang w:val="en-US" w:eastAsia="zh-CN"/>
        </w:rPr>
        <w:t>《中华人民共和国价格法》第十</w:t>
      </w:r>
      <w:r>
        <w:rPr>
          <w:rFonts w:hint="eastAsia" w:ascii="Times New Roman" w:hAnsi="Times New Roman" w:eastAsia="仿宋_GB2312" w:cs="Times New Roman"/>
          <w:snapToGrid/>
          <w:color w:val="auto"/>
          <w:spacing w:val="0"/>
          <w:kern w:val="0"/>
          <w:sz w:val="32"/>
          <w:szCs w:val="32"/>
          <w:highlight w:val="none"/>
          <w:lang w:val="en-US" w:eastAsia="zh-CN"/>
        </w:rPr>
        <w:t>三</w:t>
      </w:r>
      <w:r>
        <w:rPr>
          <w:rFonts w:hint="default" w:ascii="Times New Roman" w:hAnsi="Times New Roman" w:eastAsia="仿宋_GB2312" w:cs="Times New Roman"/>
          <w:snapToGrid/>
          <w:color w:val="auto"/>
          <w:spacing w:val="0"/>
          <w:kern w:val="0"/>
          <w:sz w:val="32"/>
          <w:szCs w:val="32"/>
          <w:highlight w:val="none"/>
          <w:lang w:val="en-US" w:eastAsia="zh-CN"/>
        </w:rPr>
        <w:t>条</w:t>
      </w:r>
      <w:r>
        <w:rPr>
          <w:rFonts w:hint="eastAsia" w:ascii="Times New Roman" w:hAnsi="Times New Roman" w:eastAsia="仿宋_GB2312" w:cs="Times New Roman"/>
          <w:snapToGrid/>
          <w:color w:val="auto"/>
          <w:spacing w:val="0"/>
          <w:kern w:val="0"/>
          <w:sz w:val="32"/>
          <w:szCs w:val="32"/>
          <w:highlight w:val="none"/>
          <w:lang w:val="en-US" w:eastAsia="zh-CN"/>
        </w:rPr>
        <w:t>第二款“经营者不得在标价之外加价出售商品，不得收取任何未予标明的费用。”的规定，构成</w:t>
      </w:r>
      <w:r>
        <w:rPr>
          <w:rFonts w:hint="default" w:ascii="Times New Roman" w:hAnsi="Times New Roman" w:eastAsia="仿宋_GB2312" w:cs="Times New Roman"/>
          <w:snapToGrid/>
          <w:color w:val="auto"/>
          <w:spacing w:val="0"/>
          <w:kern w:val="0"/>
          <w:sz w:val="32"/>
          <w:szCs w:val="32"/>
          <w:lang w:val="en-US" w:eastAsia="zh-CN"/>
        </w:rPr>
        <w:t>在标价之外加价出售商品</w:t>
      </w:r>
      <w:r>
        <w:rPr>
          <w:rFonts w:hint="eastAsia" w:ascii="Times New Roman" w:hAnsi="Times New Roman" w:eastAsia="仿宋_GB2312" w:cs="Times New Roman"/>
          <w:snapToGrid/>
          <w:color w:val="auto"/>
          <w:spacing w:val="0"/>
          <w:kern w:val="0"/>
          <w:sz w:val="32"/>
          <w:szCs w:val="32"/>
          <w:lang w:val="en-US" w:eastAsia="zh-CN"/>
        </w:rPr>
        <w:t>的违法行为。</w:t>
      </w:r>
      <w:r>
        <w:rPr>
          <w:rFonts w:hint="default" w:ascii="Times New Roman" w:hAnsi="Times New Roman" w:eastAsia="仿宋_GB2312" w:cs="Times New Roman"/>
          <w:snapToGrid/>
          <w:color w:val="auto"/>
          <w:spacing w:val="0"/>
          <w:kern w:val="0"/>
          <w:sz w:val="32"/>
          <w:szCs w:val="32"/>
          <w:highlight w:val="none"/>
          <w:lang w:val="en-US" w:eastAsia="zh-CN"/>
        </w:rPr>
        <w:t>依据《中华人民共和国</w:t>
      </w:r>
      <w:r>
        <w:rPr>
          <w:rFonts w:hint="eastAsia" w:ascii="Times New Roman" w:hAnsi="Times New Roman" w:eastAsia="仿宋_GB2312" w:cs="Times New Roman"/>
          <w:snapToGrid/>
          <w:color w:val="auto"/>
          <w:spacing w:val="0"/>
          <w:kern w:val="0"/>
          <w:sz w:val="32"/>
          <w:szCs w:val="32"/>
          <w:highlight w:val="none"/>
          <w:lang w:val="en-US" w:eastAsia="zh-CN"/>
        </w:rPr>
        <w:t>价格</w:t>
      </w:r>
      <w:r>
        <w:rPr>
          <w:rFonts w:hint="default" w:ascii="Times New Roman" w:hAnsi="Times New Roman" w:eastAsia="仿宋_GB2312" w:cs="Times New Roman"/>
          <w:snapToGrid/>
          <w:color w:val="auto"/>
          <w:spacing w:val="0"/>
          <w:kern w:val="0"/>
          <w:sz w:val="32"/>
          <w:szCs w:val="32"/>
          <w:highlight w:val="none"/>
          <w:lang w:val="en-US" w:eastAsia="zh-CN"/>
        </w:rPr>
        <w:t>法》第</w:t>
      </w:r>
      <w:r>
        <w:rPr>
          <w:rFonts w:hint="eastAsia" w:ascii="Times New Roman" w:hAnsi="Times New Roman" w:eastAsia="仿宋_GB2312" w:cs="Times New Roman"/>
          <w:snapToGrid/>
          <w:color w:val="auto"/>
          <w:spacing w:val="0"/>
          <w:kern w:val="0"/>
          <w:sz w:val="32"/>
          <w:szCs w:val="32"/>
          <w:highlight w:val="none"/>
          <w:lang w:val="en-US" w:eastAsia="zh-CN"/>
        </w:rPr>
        <w:t>四十二</w:t>
      </w:r>
      <w:r>
        <w:rPr>
          <w:rFonts w:hint="default" w:ascii="Times New Roman" w:hAnsi="Times New Roman" w:eastAsia="仿宋_GB2312" w:cs="Times New Roman"/>
          <w:snapToGrid/>
          <w:color w:val="auto"/>
          <w:spacing w:val="0"/>
          <w:kern w:val="0"/>
          <w:sz w:val="32"/>
          <w:szCs w:val="32"/>
          <w:highlight w:val="none"/>
          <w:lang w:val="en-US" w:eastAsia="zh-CN"/>
        </w:rPr>
        <w:t>条</w:t>
      </w:r>
      <w:r>
        <w:rPr>
          <w:rFonts w:hint="default" w:ascii="Times New Roman" w:hAnsi="Times New Roman" w:eastAsia="仿宋_GB2312" w:cs="Times New Roman"/>
          <w:color w:val="auto"/>
          <w:spacing w:val="4"/>
          <w:sz w:val="32"/>
          <w:szCs w:val="32"/>
          <w:highlight w:val="none"/>
          <w:lang w:val="en-US" w:eastAsia="zh-CN"/>
        </w:rPr>
        <w:t>“经营者违反明码标价规定的，责令改正，没收违法所得，可以并处五千元以下的罚款</w:t>
      </w:r>
      <w:r>
        <w:rPr>
          <w:rFonts w:hint="eastAsia" w:ascii="Times New Roman" w:hAnsi="Times New Roman" w:eastAsia="仿宋_GB2312" w:cs="Times New Roman"/>
          <w:color w:val="auto"/>
          <w:spacing w:val="4"/>
          <w:sz w:val="32"/>
          <w:szCs w:val="32"/>
          <w:highlight w:val="none"/>
          <w:lang w:val="en-US" w:eastAsia="zh-CN"/>
        </w:rPr>
        <w:t>。</w:t>
      </w:r>
      <w:r>
        <w:rPr>
          <w:rFonts w:hint="default" w:ascii="Times New Roman" w:hAnsi="Times New Roman" w:eastAsia="仿宋_GB2312" w:cs="Times New Roman"/>
          <w:color w:val="auto"/>
          <w:spacing w:val="4"/>
          <w:sz w:val="32"/>
          <w:szCs w:val="32"/>
          <w:highlight w:val="none"/>
          <w:lang w:val="en-US" w:eastAsia="zh-CN"/>
        </w:rPr>
        <w:t>”</w:t>
      </w:r>
      <w:r>
        <w:rPr>
          <w:rFonts w:hint="eastAsia" w:ascii="Times New Roman" w:hAnsi="Times New Roman" w:eastAsia="仿宋_GB2312" w:cs="Times New Roman"/>
          <w:color w:val="auto"/>
          <w:spacing w:val="4"/>
          <w:sz w:val="32"/>
          <w:szCs w:val="32"/>
          <w:highlight w:val="none"/>
          <w:lang w:val="en-US" w:eastAsia="zh-CN"/>
        </w:rPr>
        <w:t>和</w:t>
      </w:r>
      <w:r>
        <w:rPr>
          <w:rFonts w:hint="eastAsia" w:ascii="Times New Roman" w:hAnsi="Times New Roman" w:eastAsia="仿宋_GB2312" w:cs="Times New Roman"/>
          <w:color w:val="auto"/>
          <w:spacing w:val="0"/>
          <w:sz w:val="32"/>
          <w:szCs w:val="32"/>
          <w:highlight w:val="none"/>
          <w:lang w:val="en-US" w:eastAsia="zh-CN"/>
        </w:rPr>
        <w:t>《价格违法行为行政处罚规定》第十三条</w:t>
      </w:r>
      <w:r>
        <w:rPr>
          <w:rFonts w:hint="eastAsia" w:ascii="Times New Roman" w:hAnsi="Times New Roman" w:eastAsia="仿宋_GB2312" w:cs="Times New Roman"/>
          <w:snapToGrid/>
          <w:color w:val="auto"/>
          <w:spacing w:val="0"/>
          <w:kern w:val="0"/>
          <w:sz w:val="32"/>
          <w:szCs w:val="32"/>
          <w:highlight w:val="none"/>
          <w:lang w:val="en-US" w:eastAsia="zh-CN"/>
        </w:rPr>
        <w:t>第三项“经营者违反明码标价规定，有下列行为之一的，责令改正，没收违法所得，可以并处5000元以下的罚款：……（三）在标价之外加价出售商品或者收取未标明的费用的；……”的规定，</w:t>
      </w:r>
      <w:r>
        <w:rPr>
          <w:rFonts w:hint="default" w:ascii="Times New Roman" w:hAnsi="Times New Roman" w:eastAsia="仿宋_GB2312" w:cs="Times New Roman"/>
          <w:color w:val="auto"/>
          <w:spacing w:val="0"/>
          <w:sz w:val="32"/>
          <w:szCs w:val="32"/>
          <w:highlight w:val="none"/>
          <w:lang w:val="en-US" w:eastAsia="zh-CN"/>
        </w:rPr>
        <w:t>本机关应当责令</w:t>
      </w:r>
      <w:r>
        <w:rPr>
          <w:rFonts w:hint="eastAsia" w:ascii="Times New Roman" w:hAnsi="Times New Roman" w:eastAsia="仿宋_GB2312" w:cs="Times New Roman"/>
          <w:color w:val="auto"/>
          <w:spacing w:val="0"/>
          <w:sz w:val="32"/>
          <w:szCs w:val="32"/>
          <w:highlight w:val="none"/>
          <w:lang w:val="en-US" w:eastAsia="zh-CN"/>
        </w:rPr>
        <w:t>当事人</w:t>
      </w:r>
      <w:r>
        <w:rPr>
          <w:rFonts w:hint="default" w:ascii="Times New Roman" w:hAnsi="Times New Roman" w:eastAsia="仿宋_GB2312" w:cs="Times New Roman"/>
          <w:b w:val="0"/>
          <w:bCs w:val="0"/>
          <w:spacing w:val="0"/>
          <w:sz w:val="32"/>
          <w:szCs w:val="32"/>
          <w:lang w:val="en-US" w:eastAsia="zh-CN"/>
        </w:rPr>
        <w:t>立即</w:t>
      </w:r>
      <w:r>
        <w:rPr>
          <w:rFonts w:hint="default" w:ascii="Times New Roman" w:hAnsi="Times New Roman" w:eastAsia="仿宋_GB2312" w:cs="Times New Roman"/>
          <w:color w:val="auto"/>
          <w:sz w:val="32"/>
          <w:szCs w:val="32"/>
          <w:lang w:val="en-US" w:eastAsia="zh-CN"/>
        </w:rPr>
        <w:t>改正违法行为</w:t>
      </w:r>
      <w:r>
        <w:rPr>
          <w:rFonts w:hint="default" w:ascii="Times New Roman" w:hAnsi="Times New Roman" w:eastAsia="仿宋_GB2312" w:cs="Times New Roman"/>
          <w:b w:val="0"/>
          <w:bCs w:val="0"/>
          <w:spacing w:val="0"/>
          <w:sz w:val="32"/>
          <w:szCs w:val="32"/>
          <w:lang w:val="en-US" w:eastAsia="zh-CN"/>
        </w:rPr>
        <w:t>，</w:t>
      </w:r>
      <w:r>
        <w:rPr>
          <w:rFonts w:hint="eastAsia" w:ascii="Times New Roman" w:hAnsi="Times New Roman" w:eastAsia="仿宋_GB2312" w:cs="Times New Roman"/>
          <w:color w:val="auto"/>
          <w:spacing w:val="0"/>
          <w:sz w:val="32"/>
          <w:szCs w:val="32"/>
          <w:highlight w:val="none"/>
          <w:lang w:val="en-US" w:eastAsia="zh-CN"/>
        </w:rPr>
        <w:t>没收违法所得，</w:t>
      </w:r>
      <w:r>
        <w:rPr>
          <w:rFonts w:hint="eastAsia" w:ascii="Times New Roman" w:hAnsi="Times New Roman" w:eastAsia="仿宋_GB2312" w:cs="Times New Roman"/>
          <w:b w:val="0"/>
          <w:bCs w:val="0"/>
          <w:spacing w:val="0"/>
          <w:sz w:val="32"/>
          <w:szCs w:val="32"/>
          <w:lang w:val="en-US" w:eastAsia="zh-CN"/>
        </w:rPr>
        <w:t>可以</w:t>
      </w:r>
      <w:r>
        <w:rPr>
          <w:rFonts w:hint="default" w:ascii="Times New Roman" w:hAnsi="Times New Roman" w:eastAsia="仿宋_GB2312" w:cs="Times New Roman"/>
          <w:color w:val="auto"/>
          <w:sz w:val="32"/>
          <w:szCs w:val="32"/>
          <w:highlight w:val="none"/>
          <w:lang w:val="en-US" w:eastAsia="zh-CN"/>
        </w:rPr>
        <w:t>并处</w:t>
      </w:r>
      <w:r>
        <w:rPr>
          <w:rFonts w:hint="eastAsia" w:ascii="Times New Roman" w:hAnsi="Times New Roman" w:eastAsia="仿宋_GB2312" w:cs="Times New Roman"/>
          <w:color w:val="auto"/>
          <w:sz w:val="32"/>
          <w:szCs w:val="32"/>
          <w:highlight w:val="none"/>
          <w:lang w:val="en-US" w:eastAsia="zh-CN"/>
        </w:rPr>
        <w:t>5000元以下</w:t>
      </w:r>
      <w:r>
        <w:rPr>
          <w:rFonts w:hint="default" w:ascii="Times New Roman" w:hAnsi="Times New Roman" w:eastAsia="仿宋_GB2312" w:cs="Times New Roman"/>
          <w:color w:val="auto"/>
          <w:sz w:val="32"/>
          <w:szCs w:val="32"/>
          <w:highlight w:val="none"/>
          <w:lang w:val="en-US" w:eastAsia="zh-CN"/>
        </w:rPr>
        <w:t>罚款</w:t>
      </w:r>
      <w:r>
        <w:rPr>
          <w:rFonts w:hint="eastAsia" w:ascii="Times New Roman" w:hAnsi="Times New Roman" w:eastAsia="仿宋_GB2312" w:cs="Times New Roman"/>
          <w:color w:val="auto"/>
          <w:sz w:val="32"/>
          <w:szCs w:val="32"/>
          <w:highlight w:val="none"/>
          <w:lang w:val="en-US" w:eastAsia="zh-CN"/>
        </w:rPr>
        <w:t>的行政处罚</w:t>
      </w:r>
      <w:r>
        <w:rPr>
          <w:rFonts w:hint="default" w:ascii="Times New Roman" w:hAnsi="Times New Roman" w:eastAsia="仿宋_GB2312" w:cs="Times New Roman"/>
          <w:b w:val="0"/>
          <w:bCs w:val="0"/>
          <w:spacing w:val="0"/>
          <w:sz w:val="32"/>
          <w:szCs w:val="32"/>
          <w:lang w:val="en-US" w:eastAsia="zh-CN"/>
        </w:rPr>
        <w:t>。</w:t>
      </w:r>
    </w:p>
    <w:p w14:paraId="5A7C6E30">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pacing w:val="4"/>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lang w:val="en-US" w:eastAsia="zh-CN"/>
        </w:rPr>
        <w:t>群众身边不正之风和腐败问题集中整治</w:t>
      </w:r>
      <w:r>
        <w:rPr>
          <w:rFonts w:hint="default" w:ascii="Times New Roman" w:hAnsi="Times New Roman" w:eastAsia="仿宋_GB2312" w:cs="Times New Roman"/>
          <w:snapToGrid/>
          <w:color w:val="auto"/>
          <w:spacing w:val="0"/>
          <w:kern w:val="0"/>
          <w:sz w:val="32"/>
          <w:szCs w:val="32"/>
          <w:lang w:val="en-US" w:eastAsia="zh-CN"/>
        </w:rPr>
        <w:t>专项检查</w:t>
      </w:r>
      <w:r>
        <w:rPr>
          <w:rFonts w:hint="eastAsia" w:ascii="Times New Roman" w:hAnsi="Times New Roman" w:eastAsia="仿宋_GB2312" w:cs="Times New Roman"/>
          <w:snapToGrid/>
          <w:color w:val="auto"/>
          <w:spacing w:val="0"/>
          <w:kern w:val="0"/>
          <w:sz w:val="32"/>
          <w:szCs w:val="32"/>
          <w:lang w:val="en-US" w:eastAsia="zh-CN"/>
        </w:rPr>
        <w:t>工作</w:t>
      </w:r>
      <w:r>
        <w:rPr>
          <w:rFonts w:hint="eastAsia" w:ascii="Times New Roman" w:hAnsi="Times New Roman" w:eastAsia="仿宋_GB2312" w:cs="Times New Roman"/>
          <w:snapToGrid/>
          <w:color w:val="auto"/>
          <w:spacing w:val="0"/>
          <w:kern w:val="0"/>
          <w:sz w:val="32"/>
          <w:szCs w:val="32"/>
          <w:highlight w:val="none"/>
          <w:lang w:val="en-US" w:eastAsia="zh-CN"/>
        </w:rPr>
        <w:t>开展以来，第十四师市场监督管理局发布《关于规范殡葬行业经营行为的提醒告诫函》，并在专项检查时多次强调销售商品、提供服务严格按照规定进行明码标价，</w:t>
      </w:r>
      <w:r>
        <w:rPr>
          <w:rFonts w:hint="eastAsia" w:ascii="Times New Roman" w:hAnsi="Times New Roman" w:eastAsia="仿宋_GB2312" w:cs="Times New Roman"/>
          <w:color w:val="auto"/>
          <w:spacing w:val="0"/>
          <w:sz w:val="32"/>
          <w:szCs w:val="32"/>
          <w:highlight w:val="none"/>
          <w:lang w:val="en-US" w:eastAsia="zh-CN"/>
        </w:rPr>
        <w:t>当事人</w:t>
      </w:r>
      <w:r>
        <w:rPr>
          <w:rFonts w:hint="eastAsia" w:ascii="Times New Roman" w:hAnsi="Times New Roman" w:eastAsia="仿宋_GB2312" w:cs="Times New Roman"/>
          <w:snapToGrid/>
          <w:color w:val="auto"/>
          <w:spacing w:val="0"/>
          <w:kern w:val="0"/>
          <w:sz w:val="32"/>
          <w:szCs w:val="32"/>
          <w:highlight w:val="none"/>
          <w:lang w:val="en-US" w:eastAsia="zh-CN"/>
        </w:rPr>
        <w:t>在明知销售商品、提供服务需要按照规定进行明码标价的情况下</w:t>
      </w:r>
      <w:r>
        <w:rPr>
          <w:rFonts w:hint="default" w:ascii="Times New Roman" w:hAnsi="Times New Roman" w:eastAsia="仿宋_GB2312" w:cs="Times New Roman"/>
          <w:snapToGrid/>
          <w:color w:val="auto"/>
          <w:spacing w:val="0"/>
          <w:kern w:val="0"/>
          <w:sz w:val="32"/>
          <w:szCs w:val="32"/>
          <w:highlight w:val="none"/>
          <w:lang w:val="en-US" w:eastAsia="zh-CN"/>
        </w:rPr>
        <w:t>，</w:t>
      </w:r>
      <w:r>
        <w:rPr>
          <w:rFonts w:hint="eastAsia" w:ascii="Times New Roman" w:hAnsi="Times New Roman" w:eastAsia="仿宋_GB2312" w:cs="Times New Roman"/>
          <w:snapToGrid/>
          <w:color w:val="auto"/>
          <w:spacing w:val="0"/>
          <w:kern w:val="0"/>
          <w:sz w:val="32"/>
          <w:szCs w:val="32"/>
          <w:highlight w:val="none"/>
          <w:lang w:val="en-US" w:eastAsia="zh-CN"/>
        </w:rPr>
        <w:t>仍然对销售的部分商品和提供的部分服务项目没有进行明码标价，</w:t>
      </w:r>
      <w:r>
        <w:rPr>
          <w:rFonts w:hint="default" w:ascii="Times New Roman" w:hAnsi="Times New Roman" w:eastAsia="仿宋_GB2312" w:cs="Times New Roman"/>
          <w:snapToGrid/>
          <w:color w:val="auto"/>
          <w:spacing w:val="0"/>
          <w:kern w:val="0"/>
          <w:sz w:val="32"/>
          <w:szCs w:val="32"/>
          <w:highlight w:val="none"/>
          <w:lang w:val="en-US" w:eastAsia="zh-CN"/>
        </w:rPr>
        <w:t>存在</w:t>
      </w:r>
      <w:r>
        <w:rPr>
          <w:rFonts w:hint="eastAsia" w:ascii="Times New Roman" w:hAnsi="Times New Roman" w:eastAsia="仿宋_GB2312" w:cs="Times New Roman"/>
          <w:snapToGrid/>
          <w:color w:val="auto"/>
          <w:spacing w:val="0"/>
          <w:kern w:val="0"/>
          <w:sz w:val="32"/>
          <w:szCs w:val="32"/>
          <w:highlight w:val="none"/>
          <w:lang w:val="en-US" w:eastAsia="zh-CN"/>
        </w:rPr>
        <w:t>主观</w:t>
      </w:r>
      <w:r>
        <w:rPr>
          <w:rFonts w:hint="default" w:ascii="Times New Roman" w:hAnsi="Times New Roman" w:eastAsia="仿宋_GB2312" w:cs="Times New Roman"/>
          <w:snapToGrid/>
          <w:color w:val="auto"/>
          <w:spacing w:val="0"/>
          <w:kern w:val="0"/>
          <w:sz w:val="32"/>
          <w:szCs w:val="32"/>
          <w:highlight w:val="none"/>
          <w:lang w:val="en-US" w:eastAsia="zh-CN"/>
        </w:rPr>
        <w:t>过错。在案件调查过程中，</w:t>
      </w:r>
      <w:r>
        <w:rPr>
          <w:rFonts w:hint="eastAsia" w:ascii="Times New Roman" w:hAnsi="Times New Roman" w:eastAsia="仿宋_GB2312" w:cs="Times New Roman"/>
          <w:color w:val="auto"/>
          <w:spacing w:val="0"/>
          <w:sz w:val="32"/>
          <w:szCs w:val="32"/>
          <w:highlight w:val="none"/>
          <w:lang w:val="en-US" w:eastAsia="zh-CN"/>
        </w:rPr>
        <w:t>当事人</w:t>
      </w:r>
      <w:r>
        <w:rPr>
          <w:rFonts w:hint="default" w:ascii="Times New Roman" w:hAnsi="Times New Roman" w:eastAsia="仿宋_GB2312" w:cs="Times New Roman"/>
          <w:color w:val="auto"/>
          <w:spacing w:val="0"/>
          <w:sz w:val="32"/>
          <w:szCs w:val="32"/>
          <w:highlight w:val="none"/>
          <w:lang w:val="en-US" w:eastAsia="zh-CN"/>
        </w:rPr>
        <w:t>能够</w:t>
      </w:r>
      <w:r>
        <w:rPr>
          <w:rFonts w:hint="default" w:ascii="Times New Roman" w:hAnsi="Times New Roman" w:eastAsia="仿宋_GB2312" w:cs="Times New Roman"/>
          <w:color w:val="auto"/>
          <w:spacing w:val="0"/>
          <w:sz w:val="32"/>
          <w:szCs w:val="32"/>
          <w:highlight w:val="none"/>
        </w:rPr>
        <w:t>积极配合调查，主动</w:t>
      </w:r>
      <w:r>
        <w:rPr>
          <w:rFonts w:hint="eastAsia" w:ascii="Times New Roman" w:hAnsi="Times New Roman" w:eastAsia="仿宋_GB2312" w:cs="Times New Roman"/>
          <w:color w:val="auto"/>
          <w:spacing w:val="0"/>
          <w:sz w:val="32"/>
          <w:szCs w:val="32"/>
          <w:highlight w:val="none"/>
          <w:lang w:val="en-US" w:eastAsia="zh-CN"/>
        </w:rPr>
        <w:t>排查整改</w:t>
      </w:r>
      <w:r>
        <w:rPr>
          <w:rFonts w:hint="default" w:ascii="Times New Roman" w:hAnsi="Times New Roman" w:eastAsia="仿宋_GB2312" w:cs="Times New Roman"/>
          <w:color w:val="auto"/>
          <w:spacing w:val="0"/>
          <w:sz w:val="32"/>
          <w:szCs w:val="32"/>
          <w:highlight w:val="none"/>
        </w:rPr>
        <w:t>，</w:t>
      </w:r>
      <w:r>
        <w:rPr>
          <w:rFonts w:hint="default" w:ascii="Times New Roman" w:hAnsi="Times New Roman" w:eastAsia="仿宋_GB2312" w:cs="Times New Roman"/>
          <w:color w:val="auto"/>
          <w:spacing w:val="0"/>
          <w:sz w:val="32"/>
          <w:szCs w:val="32"/>
          <w:highlight w:val="none"/>
          <w:lang w:val="en-US" w:eastAsia="zh-CN"/>
        </w:rPr>
        <w:t>及时退回</w:t>
      </w:r>
      <w:r>
        <w:rPr>
          <w:rFonts w:hint="eastAsia" w:ascii="Times New Roman" w:hAnsi="Times New Roman" w:eastAsia="仿宋_GB2312" w:cs="Times New Roman"/>
          <w:snapToGrid/>
          <w:color w:val="auto"/>
          <w:spacing w:val="0"/>
          <w:kern w:val="0"/>
          <w:sz w:val="32"/>
          <w:szCs w:val="32"/>
          <w:highlight w:val="none"/>
          <w:lang w:val="en-US" w:eastAsia="zh-CN"/>
        </w:rPr>
        <w:t>重复收取费用1500元、未明码标价收取费用391元、</w:t>
      </w:r>
      <w:r>
        <w:rPr>
          <w:rFonts w:hint="default" w:ascii="Times New Roman" w:hAnsi="Times New Roman" w:eastAsia="仿宋_GB2312" w:cs="Times New Roman"/>
          <w:snapToGrid/>
          <w:color w:val="auto"/>
          <w:spacing w:val="0"/>
          <w:kern w:val="0"/>
          <w:sz w:val="32"/>
          <w:szCs w:val="32"/>
          <w:lang w:val="en-US" w:eastAsia="zh-CN"/>
        </w:rPr>
        <w:t>在标价之外加价出售商品</w:t>
      </w:r>
      <w:r>
        <w:rPr>
          <w:rFonts w:hint="eastAsia" w:ascii="Times New Roman" w:hAnsi="Times New Roman" w:eastAsia="仿宋_GB2312" w:cs="Times New Roman"/>
          <w:snapToGrid/>
          <w:color w:val="auto"/>
          <w:spacing w:val="0"/>
          <w:kern w:val="0"/>
          <w:sz w:val="32"/>
          <w:szCs w:val="32"/>
          <w:highlight w:val="none"/>
          <w:lang w:val="en-US" w:eastAsia="zh-CN"/>
        </w:rPr>
        <w:t>多收取费用124</w:t>
      </w:r>
      <w:r>
        <w:rPr>
          <w:rFonts w:hint="default" w:ascii="Times New Roman" w:hAnsi="Times New Roman" w:eastAsia="仿宋_GB2312" w:cs="Times New Roman"/>
          <w:color w:val="auto"/>
          <w:spacing w:val="0"/>
          <w:sz w:val="32"/>
          <w:szCs w:val="32"/>
          <w:highlight w:val="none"/>
          <w:lang w:val="en-US" w:eastAsia="zh-CN"/>
        </w:rPr>
        <w:t>元</w:t>
      </w:r>
      <w:r>
        <w:rPr>
          <w:rFonts w:hint="default" w:ascii="Times New Roman" w:hAnsi="Times New Roman" w:eastAsia="仿宋_GB2312" w:cs="Times New Roman"/>
          <w:color w:val="auto"/>
          <w:spacing w:val="0"/>
          <w:sz w:val="32"/>
          <w:szCs w:val="32"/>
          <w:highlight w:val="none"/>
        </w:rPr>
        <w:t>，</w:t>
      </w:r>
      <w:r>
        <w:rPr>
          <w:rFonts w:hint="default" w:ascii="Times New Roman" w:hAnsi="Times New Roman" w:eastAsia="仿宋_GB2312" w:cs="Times New Roman"/>
          <w:color w:val="auto"/>
          <w:spacing w:val="0"/>
          <w:sz w:val="32"/>
          <w:szCs w:val="32"/>
          <w:highlight w:val="none"/>
          <w:lang w:val="en-US" w:eastAsia="zh-CN"/>
        </w:rPr>
        <w:t>积极消除不良社会影响，</w:t>
      </w:r>
      <w:r>
        <w:rPr>
          <w:rFonts w:hint="default" w:ascii="Times New Roman" w:hAnsi="Times New Roman" w:eastAsia="仿宋_GB2312" w:cs="Times New Roman"/>
          <w:color w:val="auto"/>
          <w:spacing w:val="0"/>
          <w:sz w:val="32"/>
          <w:szCs w:val="32"/>
          <w:highlight w:val="none"/>
        </w:rPr>
        <w:t>危害后果</w:t>
      </w:r>
      <w:r>
        <w:rPr>
          <w:rFonts w:hint="eastAsia" w:ascii="Times New Roman" w:hAnsi="Times New Roman" w:eastAsia="仿宋_GB2312" w:cs="Times New Roman"/>
          <w:color w:val="auto"/>
          <w:spacing w:val="0"/>
          <w:sz w:val="32"/>
          <w:szCs w:val="32"/>
          <w:highlight w:val="none"/>
          <w:lang w:val="en-US" w:eastAsia="zh-CN"/>
        </w:rPr>
        <w:t>和社会影响轻微。当事人自2023年经营怀恩殡仪馆以来，累计服务丧者20人，经营规模小，持续处于亏损运营状态。</w:t>
      </w:r>
      <w:r>
        <w:rPr>
          <w:rFonts w:hint="eastAsia" w:ascii="Times New Roman" w:hAnsi="Times New Roman" w:eastAsia="仿宋_GB2312" w:cs="Times New Roman"/>
          <w:color w:val="auto"/>
          <w:spacing w:val="4"/>
          <w:sz w:val="32"/>
          <w:szCs w:val="32"/>
          <w:highlight w:val="none"/>
          <w:lang w:val="en-US" w:eastAsia="zh-CN"/>
        </w:rPr>
        <w:t>截至目前，</w:t>
      </w:r>
      <w:r>
        <w:rPr>
          <w:rFonts w:hint="eastAsia" w:ascii="Times New Roman" w:hAnsi="Times New Roman" w:eastAsia="仿宋_GB2312" w:cs="Times New Roman"/>
          <w:color w:val="auto"/>
          <w:spacing w:val="0"/>
          <w:sz w:val="32"/>
          <w:szCs w:val="32"/>
          <w:highlight w:val="none"/>
          <w:lang w:val="en-US" w:eastAsia="zh-CN"/>
        </w:rPr>
        <w:t>当事人</w:t>
      </w:r>
      <w:r>
        <w:rPr>
          <w:rFonts w:hint="eastAsia" w:ascii="Times New Roman" w:hAnsi="Times New Roman" w:eastAsia="仿宋_GB2312" w:cs="Times New Roman"/>
          <w:color w:val="auto"/>
          <w:spacing w:val="4"/>
          <w:sz w:val="32"/>
          <w:szCs w:val="32"/>
          <w:highlight w:val="none"/>
          <w:lang w:val="en-US" w:eastAsia="zh-CN"/>
        </w:rPr>
        <w:t>、民政部门及市场监管部门均未收到关于殡葬服务价格违法行为的投诉举报。2025年3月7日，</w:t>
      </w:r>
      <w:r>
        <w:rPr>
          <w:rFonts w:hint="eastAsia" w:ascii="Times New Roman" w:hAnsi="Times New Roman" w:eastAsia="仿宋_GB2312" w:cs="Times New Roman"/>
          <w:color w:val="auto"/>
          <w:spacing w:val="0"/>
          <w:sz w:val="32"/>
          <w:szCs w:val="32"/>
          <w:highlight w:val="none"/>
          <w:lang w:val="en-US" w:eastAsia="zh-CN"/>
        </w:rPr>
        <w:t>当事人</w:t>
      </w:r>
      <w:r>
        <w:rPr>
          <w:rFonts w:hint="eastAsia" w:ascii="Times New Roman" w:hAnsi="Times New Roman" w:eastAsia="仿宋_GB2312" w:cs="Times New Roman"/>
          <w:color w:val="auto"/>
          <w:spacing w:val="4"/>
          <w:sz w:val="32"/>
          <w:szCs w:val="32"/>
          <w:highlight w:val="none"/>
          <w:lang w:val="en-US" w:eastAsia="zh-CN"/>
        </w:rPr>
        <w:t>不执行政府定价，因违法行为轻微且主动退还多收取费用，没有造成危害后果，我局依法不予立案，</w:t>
      </w:r>
      <w:r>
        <w:rPr>
          <w:rFonts w:hint="eastAsia" w:ascii="Times New Roman" w:hAnsi="Times New Roman" w:eastAsia="仿宋_GB2312" w:cs="Times New Roman"/>
          <w:color w:val="auto"/>
          <w:spacing w:val="0"/>
          <w:sz w:val="32"/>
          <w:szCs w:val="32"/>
          <w:highlight w:val="none"/>
          <w:lang w:val="en-US" w:eastAsia="zh-CN"/>
        </w:rPr>
        <w:t>当事人</w:t>
      </w:r>
      <w:r>
        <w:rPr>
          <w:rFonts w:hint="eastAsia" w:ascii="Times New Roman" w:hAnsi="Times New Roman" w:eastAsia="仿宋_GB2312" w:cs="Times New Roman"/>
          <w:color w:val="auto"/>
          <w:spacing w:val="4"/>
          <w:sz w:val="32"/>
          <w:szCs w:val="32"/>
          <w:highlight w:val="none"/>
          <w:lang w:val="en-US" w:eastAsia="zh-CN"/>
        </w:rPr>
        <w:t>不属于初次违反不执行政府定价的行为。</w:t>
      </w:r>
    </w:p>
    <w:p w14:paraId="250B282E">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snapToGrid w:val="0"/>
          <w:color w:val="auto"/>
          <w:spacing w:val="0"/>
          <w:w w:val="100"/>
          <w:sz w:val="32"/>
          <w:szCs w:val="32"/>
          <w:lang w:val="en-US" w:eastAsia="zh-CN" w:bidi="ar-SA"/>
        </w:rPr>
      </w:pPr>
      <w:r>
        <w:rPr>
          <w:rFonts w:hint="eastAsia" w:ascii="Times New Roman" w:hAnsi="Times New Roman" w:eastAsia="仿宋_GB2312" w:cs="Times New Roman"/>
          <w:color w:val="auto"/>
          <w:spacing w:val="0"/>
          <w:sz w:val="32"/>
          <w:szCs w:val="32"/>
          <w:highlight w:val="none"/>
          <w:lang w:val="en-US" w:eastAsia="zh-CN"/>
        </w:rPr>
        <w:t>根据违法事实、性质、情节、经营状况和社会危害程度，</w:t>
      </w:r>
      <w:r>
        <w:rPr>
          <w:rFonts w:hint="default" w:ascii="Times New Roman" w:hAnsi="Times New Roman" w:eastAsia="仿宋_GB2312" w:cs="Times New Roman"/>
          <w:color w:val="auto"/>
          <w:spacing w:val="0"/>
          <w:sz w:val="32"/>
          <w:szCs w:val="32"/>
          <w:highlight w:val="none"/>
          <w:lang w:val="en-US" w:eastAsia="zh-CN"/>
        </w:rPr>
        <w:t>基于公平公正</w:t>
      </w:r>
      <w:r>
        <w:rPr>
          <w:rFonts w:hint="eastAsia" w:ascii="Times New Roman" w:hAnsi="Times New Roman" w:eastAsia="仿宋_GB2312" w:cs="Times New Roman"/>
          <w:color w:val="auto"/>
          <w:spacing w:val="0"/>
          <w:sz w:val="32"/>
          <w:szCs w:val="32"/>
          <w:highlight w:val="none"/>
          <w:lang w:val="en-US" w:eastAsia="zh-CN"/>
        </w:rPr>
        <w:t>、行政</w:t>
      </w:r>
      <w:r>
        <w:rPr>
          <w:rFonts w:hint="default" w:ascii="Times New Roman" w:hAnsi="Times New Roman" w:eastAsia="仿宋_GB2312" w:cs="Times New Roman"/>
          <w:color w:val="auto"/>
          <w:spacing w:val="0"/>
          <w:sz w:val="32"/>
          <w:szCs w:val="32"/>
          <w:highlight w:val="none"/>
          <w:lang w:val="en-US" w:eastAsia="zh-CN"/>
        </w:rPr>
        <w:t>处罚与教育相结合、过罚相当</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综合裁量的原则，</w:t>
      </w:r>
      <w:r>
        <w:rPr>
          <w:rFonts w:hint="eastAsia" w:ascii="Times New Roman" w:hAnsi="Times New Roman" w:eastAsia="仿宋_GB2312" w:cs="Times New Roman"/>
          <w:color w:val="auto"/>
          <w:spacing w:val="0"/>
          <w:sz w:val="32"/>
          <w:szCs w:val="32"/>
          <w:highlight w:val="none"/>
          <w:lang w:val="en-US" w:eastAsia="zh-CN"/>
        </w:rPr>
        <w:t>参照</w:t>
      </w:r>
      <w:r>
        <w:rPr>
          <w:rFonts w:ascii="Times New Roman" w:hAnsi="Times New Roman" w:eastAsia="仿宋_GB2312" w:cs="Times New Roman"/>
          <w:color w:val="auto"/>
          <w:sz w:val="32"/>
          <w:szCs w:val="32"/>
          <w:highlight w:val="none"/>
        </w:rPr>
        <w:t>《新疆维吾尔自治区 新疆生产建设兵团市场监督管理行政处罚裁量权适用规定》</w:t>
      </w:r>
      <w:r>
        <w:rPr>
          <w:rFonts w:hint="eastAsia" w:ascii="Times New Roman" w:hAnsi="Times New Roman" w:eastAsia="仿宋_GB2312" w:cs="Times New Roman"/>
          <w:color w:val="auto"/>
          <w:sz w:val="32"/>
          <w:szCs w:val="32"/>
          <w:highlight w:val="none"/>
          <w:lang w:val="en-US" w:eastAsia="zh-CN"/>
        </w:rPr>
        <w:t>第十七条第二项、第三项“有下列情形之一的，可以依法从轻或者减轻行政处罚：……（二）积极配合市场监管部门调查并主动提供证据材料的；（三）违法行为轻微，社会危害性较小的；……”</w:t>
      </w:r>
      <w:r>
        <w:rPr>
          <w:rFonts w:hint="eastAsia" w:ascii="Times New Roman" w:hAnsi="Times New Roman" w:eastAsia="仿宋_GB2312" w:cs="Times New Roman"/>
          <w:color w:val="auto"/>
          <w:spacing w:val="0"/>
          <w:sz w:val="32"/>
          <w:szCs w:val="32"/>
          <w:highlight w:val="none"/>
          <w:lang w:val="en-US" w:eastAsia="zh-CN"/>
        </w:rPr>
        <w:t>的</w:t>
      </w:r>
      <w:r>
        <w:rPr>
          <w:rFonts w:hint="default" w:ascii="Times New Roman" w:hAnsi="Times New Roman" w:eastAsia="仿宋_GB2312" w:cs="Times New Roman"/>
          <w:color w:val="auto"/>
          <w:spacing w:val="0"/>
          <w:sz w:val="32"/>
          <w:szCs w:val="32"/>
          <w:highlight w:val="none"/>
          <w:lang w:val="en-US" w:eastAsia="zh-CN"/>
        </w:rPr>
        <w:t>规定，</w:t>
      </w:r>
      <w:r>
        <w:rPr>
          <w:rFonts w:hint="eastAsia" w:ascii="Times New Roman" w:hAnsi="Times New Roman" w:eastAsia="仿宋_GB2312" w:cs="Times New Roman"/>
          <w:color w:val="auto"/>
          <w:spacing w:val="0"/>
          <w:sz w:val="32"/>
          <w:szCs w:val="32"/>
          <w:highlight w:val="none"/>
          <w:lang w:val="en-US" w:eastAsia="zh-CN"/>
        </w:rPr>
        <w:t>本机关对当事人不执行政府定价的违法行为、销售商品</w:t>
      </w:r>
      <w:r>
        <w:rPr>
          <w:rFonts w:hint="eastAsia" w:ascii="Times New Roman" w:hAnsi="Times New Roman" w:eastAsia="仿宋_GB2312" w:cs="Times New Roman"/>
          <w:snapToGrid/>
          <w:color w:val="auto"/>
          <w:spacing w:val="0"/>
          <w:kern w:val="0"/>
          <w:sz w:val="32"/>
          <w:szCs w:val="32"/>
          <w:highlight w:val="none"/>
          <w:lang w:val="en-US" w:eastAsia="zh-CN"/>
        </w:rPr>
        <w:t>未按规定明码标价的违法行为和</w:t>
      </w:r>
      <w:r>
        <w:rPr>
          <w:rFonts w:hint="default" w:ascii="Times New Roman" w:hAnsi="Times New Roman" w:eastAsia="仿宋_GB2312" w:cs="Times New Roman"/>
          <w:color w:val="auto"/>
          <w:spacing w:val="0"/>
          <w:sz w:val="32"/>
          <w:szCs w:val="32"/>
          <w:highlight w:val="none"/>
          <w:lang w:val="en-US" w:eastAsia="zh-CN"/>
        </w:rPr>
        <w:t>在标价之外加价出售商品的违法行为</w:t>
      </w:r>
      <w:r>
        <w:rPr>
          <w:rFonts w:hint="eastAsia" w:ascii="Times New Roman" w:hAnsi="Times New Roman" w:eastAsia="仿宋_GB2312" w:cs="Times New Roman"/>
          <w:color w:val="auto"/>
          <w:spacing w:val="0"/>
          <w:sz w:val="32"/>
          <w:szCs w:val="32"/>
          <w:highlight w:val="none"/>
          <w:lang w:val="en-US" w:eastAsia="zh-CN"/>
        </w:rPr>
        <w:t>给予减轻行政处罚裁量</w:t>
      </w:r>
      <w:r>
        <w:rPr>
          <w:rFonts w:hint="default" w:ascii="Times New Roman" w:hAnsi="Times New Roman" w:eastAsia="仿宋_GB2312" w:cs="Times New Roman"/>
          <w:color w:val="auto"/>
          <w:spacing w:val="0"/>
          <w:sz w:val="32"/>
          <w:szCs w:val="32"/>
          <w:highlight w:val="none"/>
          <w:lang w:val="en-US" w:eastAsia="zh-CN"/>
        </w:rPr>
        <w:t>。</w:t>
      </w:r>
    </w:p>
    <w:p w14:paraId="0F1BDF6E">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color w:val="auto"/>
          <w:spacing w:val="0"/>
          <w:sz w:val="32"/>
          <w:szCs w:val="32"/>
          <w:highlight w:val="none"/>
          <w:lang w:val="en-US" w:eastAsia="zh-CN"/>
        </w:rPr>
        <w:t>依据《新疆维吾尔自治区</w:t>
      </w:r>
      <w:bookmarkStart w:id="5" w:name="_GoBack"/>
      <w:bookmarkEnd w:id="5"/>
      <w:r>
        <w:rPr>
          <w:rFonts w:hint="eastAsia" w:ascii="Times New Roman" w:hAnsi="Times New Roman" w:eastAsia="仿宋_GB2312" w:cs="Times New Roman"/>
          <w:color w:val="auto"/>
          <w:spacing w:val="0"/>
          <w:sz w:val="32"/>
          <w:szCs w:val="32"/>
          <w:highlight w:val="none"/>
          <w:lang w:val="en-US" w:eastAsia="zh-CN"/>
        </w:rPr>
        <w:t>新疆生产建设兵团市场监督管理行政处罚裁量基准（2024 年版）》第十三章价格监督管理——第一节《中华人民共和国价格法》《价格违法行为行政处罚规定》——序号1——违法行为“经营者不执行政府指导价、政府定价以及法定的价格干预措施、紧急措施的行为”——违法情节“没有从重、从轻情节的”——裁量基准“（1）责令改正；（2）没收违法所得；（3）可以并处违法所得1.5倍以上3.5倍以下的罚款”的规定，本机关对当事人不执行政府定价的违法行为</w:t>
      </w:r>
      <w:r>
        <w:rPr>
          <w:rFonts w:hint="eastAsia" w:ascii="Times New Roman" w:hAnsi="Times New Roman" w:eastAsia="仿宋_GB2312" w:cs="Times New Roman"/>
          <w:snapToGrid/>
          <w:color w:val="auto"/>
          <w:spacing w:val="0"/>
          <w:kern w:val="0"/>
          <w:sz w:val="32"/>
          <w:szCs w:val="32"/>
          <w:highlight w:val="none"/>
          <w:lang w:val="en-US" w:eastAsia="zh-CN"/>
        </w:rPr>
        <w:t>给予违法所得1.6倍2400元（1500元×1.6）的罚款。</w:t>
      </w:r>
    </w:p>
    <w:p w14:paraId="7AB93F5E">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color w:val="auto"/>
          <w:sz w:val="32"/>
          <w:szCs w:val="32"/>
          <w:highlight w:val="none"/>
          <w:lang w:eastAsia="zh-CN"/>
        </w:rPr>
      </w:pPr>
      <w:r>
        <w:rPr>
          <w:rFonts w:hint="eastAsia" w:ascii="Times New Roman" w:hAnsi="Times New Roman" w:eastAsia="仿宋_GB2312" w:cs="Times New Roman"/>
          <w:color w:val="auto"/>
          <w:sz w:val="32"/>
          <w:szCs w:val="32"/>
          <w:highlight w:val="none"/>
          <w:lang w:val="en-US" w:eastAsia="zh-CN"/>
        </w:rPr>
        <w:t>依据</w:t>
      </w:r>
      <w:r>
        <w:rPr>
          <w:rFonts w:hint="eastAsia" w:ascii="仿宋_GB2312" w:hAnsi="仿宋_GB2312" w:eastAsia="仿宋_GB2312" w:cs="仿宋_GB2312"/>
          <w:color w:val="auto"/>
          <w:sz w:val="32"/>
          <w:szCs w:val="32"/>
          <w:highlight w:val="none"/>
        </w:rPr>
        <w:t>《新疆维吾尔自治区 新疆生产建设兵团市场监管领域减免责“三项清单”》中</w:t>
      </w:r>
      <w:r>
        <w:rPr>
          <w:rFonts w:ascii="Times New Roman" w:hAnsi="Times New Roman" w:eastAsia="仿宋_GB2312" w:cs="Times New Roman"/>
          <w:color w:val="auto"/>
          <w:sz w:val="32"/>
          <w:szCs w:val="32"/>
          <w:highlight w:val="none"/>
        </w:rPr>
        <w:t>处罚事项清单序号61</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价格监管——对经营者违反明码标价规定的处罚</w:t>
      </w:r>
      <w:r>
        <w:rPr>
          <w:rFonts w:hint="eastAsia" w:ascii="仿宋_GB2312" w:hAnsi="仿宋_GB2312" w:eastAsia="仿宋_GB2312" w:cs="仿宋_GB2312"/>
          <w:color w:val="auto"/>
          <w:sz w:val="32"/>
          <w:szCs w:val="32"/>
          <w:highlight w:val="none"/>
        </w:rPr>
        <w:t>……后</w:t>
      </w:r>
      <w:r>
        <w:rPr>
          <w:rFonts w:ascii="Times New Roman" w:hAnsi="Times New Roman" w:eastAsia="仿宋_GB2312" w:cs="Times New Roman"/>
          <w:color w:val="auto"/>
          <w:sz w:val="32"/>
          <w:szCs w:val="32"/>
          <w:highlight w:val="none"/>
        </w:rPr>
        <w:t>续监管及裁量幅度：责令改正；可以并处0.15万元以下的罚款</w:t>
      </w:r>
      <w:r>
        <w:rPr>
          <w:rFonts w:hint="eastAsia" w:ascii="仿宋_GB2312" w:hAnsi="仿宋_GB2312" w:eastAsia="仿宋_GB2312" w:cs="仿宋_GB2312"/>
          <w:color w:val="auto"/>
          <w:sz w:val="32"/>
          <w:szCs w:val="32"/>
          <w:highlight w:val="none"/>
        </w:rPr>
        <w:t>。”</w:t>
      </w:r>
      <w:r>
        <w:rPr>
          <w:rFonts w:ascii="Times New Roman" w:hAnsi="Times New Roman" w:eastAsia="仿宋_GB2312" w:cs="Times New Roman"/>
          <w:color w:val="auto"/>
          <w:sz w:val="32"/>
          <w:szCs w:val="32"/>
          <w:highlight w:val="none"/>
        </w:rPr>
        <w:t>的规定，</w:t>
      </w:r>
      <w:r>
        <w:rPr>
          <w:rFonts w:hint="eastAsia" w:ascii="Times New Roman" w:hAnsi="Times New Roman" w:eastAsia="仿宋_GB2312" w:cs="Times New Roman"/>
          <w:color w:val="auto"/>
          <w:sz w:val="32"/>
          <w:szCs w:val="32"/>
          <w:highlight w:val="none"/>
          <w:lang w:val="en-US" w:eastAsia="zh-CN"/>
        </w:rPr>
        <w:t>本机关决定</w:t>
      </w:r>
      <w:r>
        <w:rPr>
          <w:rFonts w:ascii="Times New Roman" w:hAnsi="Times New Roman" w:eastAsia="仿宋_GB2312" w:cs="Times New Roman"/>
          <w:color w:val="auto"/>
          <w:sz w:val="32"/>
          <w:szCs w:val="32"/>
          <w:highlight w:val="none"/>
        </w:rPr>
        <w:t>对</w:t>
      </w:r>
      <w:r>
        <w:rPr>
          <w:rFonts w:hint="eastAsia" w:ascii="Times New Roman" w:hAnsi="Times New Roman" w:eastAsia="仿宋_GB2312" w:cs="Times New Roman"/>
          <w:color w:val="auto"/>
          <w:spacing w:val="0"/>
          <w:sz w:val="32"/>
          <w:szCs w:val="32"/>
          <w:highlight w:val="none"/>
          <w:lang w:val="en-US" w:eastAsia="zh-CN"/>
        </w:rPr>
        <w:t>当事人</w:t>
      </w:r>
      <w:r>
        <w:rPr>
          <w:rFonts w:ascii="Times New Roman" w:hAnsi="Times New Roman" w:eastAsia="仿宋_GB2312" w:cs="Times New Roman"/>
          <w:color w:val="auto"/>
          <w:sz w:val="32"/>
          <w:szCs w:val="32"/>
          <w:highlight w:val="none"/>
        </w:rPr>
        <w:t>销售商品未按规定明码标价的违法行为</w:t>
      </w:r>
      <w:r>
        <w:rPr>
          <w:rFonts w:hint="eastAsia" w:ascii="Times New Roman" w:hAnsi="Times New Roman" w:eastAsia="仿宋_GB2312" w:cs="Times New Roman"/>
          <w:color w:val="auto"/>
          <w:sz w:val="32"/>
          <w:szCs w:val="32"/>
          <w:highlight w:val="none"/>
          <w:lang w:val="en-US" w:eastAsia="zh-CN"/>
        </w:rPr>
        <w:t>给予</w:t>
      </w:r>
      <w:r>
        <w:rPr>
          <w:rFonts w:ascii="Times New Roman" w:hAnsi="Times New Roman" w:eastAsia="仿宋_GB2312" w:cs="Times New Roman"/>
          <w:color w:val="auto"/>
          <w:sz w:val="32"/>
          <w:szCs w:val="32"/>
          <w:highlight w:val="none"/>
        </w:rPr>
        <w:t>罚款1250元的行政处罚（罚款的数额为从最低限到最高限这一幅度中25%的部分）</w:t>
      </w:r>
      <w:r>
        <w:rPr>
          <w:rFonts w:hint="eastAsia" w:ascii="Times New Roman" w:hAnsi="Times New Roman" w:eastAsia="仿宋_GB2312" w:cs="Times New Roman"/>
          <w:color w:val="auto"/>
          <w:sz w:val="32"/>
          <w:szCs w:val="32"/>
          <w:highlight w:val="none"/>
          <w:lang w:eastAsia="zh-CN"/>
        </w:rPr>
        <w:t>。</w:t>
      </w:r>
    </w:p>
    <w:p w14:paraId="7F49B564">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default"/>
          <w:lang w:val="en-US" w:eastAsia="zh-CN"/>
        </w:rPr>
      </w:pPr>
      <w:r>
        <w:rPr>
          <w:rFonts w:hint="eastAsia" w:ascii="Times New Roman" w:hAnsi="Times New Roman" w:eastAsia="仿宋_GB2312" w:cs="Times New Roman"/>
          <w:color w:val="auto"/>
          <w:sz w:val="32"/>
          <w:szCs w:val="32"/>
          <w:highlight w:val="none"/>
          <w:lang w:val="en-US" w:eastAsia="zh-CN"/>
        </w:rPr>
        <w:t>依据</w:t>
      </w:r>
      <w:r>
        <w:rPr>
          <w:rFonts w:hint="eastAsia" w:ascii="仿宋_GB2312" w:hAnsi="仿宋_GB2312" w:eastAsia="仿宋_GB2312" w:cs="仿宋_GB2312"/>
          <w:color w:val="auto"/>
          <w:sz w:val="32"/>
          <w:szCs w:val="32"/>
          <w:highlight w:val="none"/>
        </w:rPr>
        <w:t>《新疆维吾尔自治区 新疆生产建设兵团市场监管领域减免责“三项清单”》中</w:t>
      </w:r>
      <w:r>
        <w:rPr>
          <w:rFonts w:ascii="Times New Roman" w:hAnsi="Times New Roman" w:eastAsia="仿宋_GB2312" w:cs="Times New Roman"/>
          <w:color w:val="auto"/>
          <w:sz w:val="32"/>
          <w:szCs w:val="32"/>
          <w:highlight w:val="none"/>
        </w:rPr>
        <w:t>处罚事项清单序号61</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价格监管——对经营者违反明码标价规定的处罚</w:t>
      </w:r>
      <w:r>
        <w:rPr>
          <w:rFonts w:hint="eastAsia" w:ascii="仿宋_GB2312" w:hAnsi="仿宋_GB2312" w:eastAsia="仿宋_GB2312" w:cs="仿宋_GB2312"/>
          <w:color w:val="auto"/>
          <w:sz w:val="32"/>
          <w:szCs w:val="32"/>
          <w:highlight w:val="none"/>
        </w:rPr>
        <w:t>……后</w:t>
      </w:r>
      <w:r>
        <w:rPr>
          <w:rFonts w:ascii="Times New Roman" w:hAnsi="Times New Roman" w:eastAsia="仿宋_GB2312" w:cs="Times New Roman"/>
          <w:color w:val="auto"/>
          <w:sz w:val="32"/>
          <w:szCs w:val="32"/>
          <w:highlight w:val="none"/>
        </w:rPr>
        <w:t>续监管及裁量幅度：责令改正；可以并处0.15万元以下的罚款</w:t>
      </w:r>
      <w:r>
        <w:rPr>
          <w:rFonts w:hint="eastAsia" w:ascii="仿宋_GB2312" w:hAnsi="仿宋_GB2312" w:eastAsia="仿宋_GB2312" w:cs="仿宋_GB2312"/>
          <w:color w:val="auto"/>
          <w:sz w:val="32"/>
          <w:szCs w:val="32"/>
          <w:highlight w:val="none"/>
        </w:rPr>
        <w:t>。”</w:t>
      </w:r>
      <w:r>
        <w:rPr>
          <w:rFonts w:ascii="Times New Roman" w:hAnsi="Times New Roman" w:eastAsia="仿宋_GB2312" w:cs="Times New Roman"/>
          <w:color w:val="auto"/>
          <w:sz w:val="32"/>
          <w:szCs w:val="32"/>
          <w:highlight w:val="none"/>
        </w:rPr>
        <w:t>的规定，</w:t>
      </w:r>
      <w:r>
        <w:rPr>
          <w:rFonts w:hint="eastAsia" w:ascii="Times New Roman" w:hAnsi="Times New Roman" w:eastAsia="仿宋_GB2312" w:cs="Times New Roman"/>
          <w:color w:val="auto"/>
          <w:sz w:val="32"/>
          <w:szCs w:val="32"/>
          <w:highlight w:val="none"/>
          <w:lang w:val="en-US" w:eastAsia="zh-CN"/>
        </w:rPr>
        <w:t>本机关</w:t>
      </w:r>
      <w:r>
        <w:rPr>
          <w:rFonts w:hint="eastAsia" w:ascii="Times New Roman" w:hAnsi="Times New Roman" w:eastAsia="仿宋_GB2312" w:cs="Times New Roman"/>
          <w:color w:val="auto"/>
          <w:spacing w:val="0"/>
          <w:sz w:val="32"/>
          <w:szCs w:val="32"/>
          <w:highlight w:val="none"/>
          <w:lang w:val="en-US" w:eastAsia="zh-CN"/>
        </w:rPr>
        <w:t>对当事人</w:t>
      </w:r>
      <w:r>
        <w:rPr>
          <w:rFonts w:hint="default" w:ascii="Times New Roman" w:hAnsi="Times New Roman" w:eastAsia="仿宋_GB2312" w:cs="Times New Roman"/>
          <w:color w:val="auto"/>
          <w:spacing w:val="0"/>
          <w:sz w:val="32"/>
          <w:szCs w:val="32"/>
          <w:highlight w:val="none"/>
          <w:lang w:val="en-US" w:eastAsia="zh-CN"/>
        </w:rPr>
        <w:t>在标价之外加价出售商品</w:t>
      </w:r>
      <w:r>
        <w:rPr>
          <w:rFonts w:hint="default" w:ascii="Times New Roman" w:hAnsi="Times New Roman" w:eastAsia="仿宋_GB2312" w:cs="Times New Roman"/>
          <w:snapToGrid/>
          <w:color w:val="auto"/>
          <w:spacing w:val="0"/>
          <w:kern w:val="0"/>
          <w:sz w:val="32"/>
          <w:szCs w:val="32"/>
          <w:highlight w:val="none"/>
          <w:lang w:val="en-US" w:eastAsia="zh-CN"/>
        </w:rPr>
        <w:t>的违法行为罚款125</w:t>
      </w:r>
      <w:r>
        <w:rPr>
          <w:rFonts w:hint="default" w:ascii="Times New Roman" w:hAnsi="Times New Roman" w:eastAsia="仿宋_GB2312" w:cs="Times New Roman"/>
          <w:color w:val="auto"/>
          <w:sz w:val="32"/>
          <w:szCs w:val="32"/>
          <w:highlight w:val="none"/>
          <w:lang w:val="en-US" w:eastAsia="zh-CN"/>
        </w:rPr>
        <w:t>0元的行政处罚（罚款的数额为从最低限到最高限这一幅度中25%的部分）</w:t>
      </w:r>
      <w:r>
        <w:rPr>
          <w:rFonts w:hint="eastAsia" w:ascii="Times New Roman" w:hAnsi="Times New Roman" w:eastAsia="仿宋_GB2312" w:cs="Times New Roman"/>
          <w:color w:val="auto"/>
          <w:sz w:val="32"/>
          <w:szCs w:val="32"/>
          <w:highlight w:val="none"/>
          <w:lang w:val="en-US" w:eastAsia="zh-CN"/>
        </w:rPr>
        <w:t>。</w:t>
      </w:r>
    </w:p>
    <w:p w14:paraId="1F14A858">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default"/>
          <w:lang w:val="en-US" w:eastAsia="zh-CN"/>
        </w:rPr>
      </w:pPr>
      <w:r>
        <w:rPr>
          <w:rFonts w:hint="eastAsia" w:ascii="Times New Roman" w:hAnsi="Times New Roman" w:eastAsia="仿宋_GB2312" w:cs="Times New Roman"/>
          <w:color w:val="auto"/>
          <w:sz w:val="32"/>
          <w:szCs w:val="32"/>
          <w:highlight w:val="none"/>
          <w:lang w:val="en-US" w:eastAsia="zh-CN"/>
        </w:rPr>
        <w:t>以上违法行为的违法所得在本案办理过程中均已全部退还给丧属，本机关不再没收违法所得。</w:t>
      </w:r>
    </w:p>
    <w:p w14:paraId="75C534FE">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default" w:ascii="Times New Roman" w:hAnsi="Times New Roman" w:eastAsia="仿宋_GB2312" w:cs="Times New Roman"/>
          <w:snapToGrid/>
          <w:color w:val="auto"/>
          <w:spacing w:val="0"/>
          <w:kern w:val="0"/>
          <w:sz w:val="32"/>
          <w:szCs w:val="32"/>
          <w:highlight w:val="none"/>
          <w:lang w:val="en-US" w:eastAsia="zh-CN"/>
        </w:rPr>
        <w:t>综上，根据《</w:t>
      </w:r>
      <w:r>
        <w:rPr>
          <w:rFonts w:hint="eastAsia" w:ascii="Times New Roman" w:hAnsi="Times New Roman" w:eastAsia="仿宋_GB2312" w:cs="Times New Roman"/>
          <w:color w:val="auto"/>
          <w:spacing w:val="0"/>
          <w:sz w:val="32"/>
          <w:szCs w:val="32"/>
          <w:highlight w:val="none"/>
          <w:lang w:val="en-US" w:eastAsia="zh-CN"/>
        </w:rPr>
        <w:t>新疆维吾尔自治区 新疆生产建设兵团市场监督管理行政处罚裁量权适用规定</w:t>
      </w:r>
      <w:r>
        <w:rPr>
          <w:rFonts w:hint="default" w:ascii="Times New Roman" w:hAnsi="Times New Roman" w:eastAsia="仿宋_GB2312" w:cs="Times New Roman"/>
          <w:snapToGrid/>
          <w:color w:val="auto"/>
          <w:spacing w:val="0"/>
          <w:kern w:val="0"/>
          <w:sz w:val="32"/>
          <w:szCs w:val="32"/>
          <w:highlight w:val="none"/>
          <w:lang w:val="en-US" w:eastAsia="zh-CN"/>
        </w:rPr>
        <w:t>》第十一条“同一行政违法行为人的两种以上行政违法行为没有牵连关系的，遵循</w:t>
      </w:r>
      <w:r>
        <w:rPr>
          <w:rFonts w:hint="eastAsia" w:ascii="Times New Roman" w:hAnsi="Times New Roman" w:eastAsia="仿宋_GB2312" w:cs="Times New Roman"/>
          <w:snapToGrid/>
          <w:color w:val="auto"/>
          <w:spacing w:val="0"/>
          <w:kern w:val="0"/>
          <w:sz w:val="32"/>
          <w:szCs w:val="32"/>
          <w:highlight w:val="none"/>
          <w:lang w:val="en-US" w:eastAsia="zh-CN"/>
        </w:rPr>
        <w:t>‘</w:t>
      </w:r>
      <w:r>
        <w:rPr>
          <w:rFonts w:hint="default" w:ascii="Times New Roman" w:hAnsi="Times New Roman" w:eastAsia="仿宋_GB2312" w:cs="Times New Roman"/>
          <w:snapToGrid/>
          <w:color w:val="auto"/>
          <w:spacing w:val="0"/>
          <w:kern w:val="0"/>
          <w:sz w:val="32"/>
          <w:szCs w:val="32"/>
          <w:highlight w:val="none"/>
          <w:lang w:val="en-US" w:eastAsia="zh-CN"/>
        </w:rPr>
        <w:t>分别处罚，一并执行</w:t>
      </w:r>
      <w:r>
        <w:rPr>
          <w:rFonts w:hint="eastAsia" w:ascii="Times New Roman" w:hAnsi="Times New Roman" w:eastAsia="仿宋_GB2312" w:cs="Times New Roman"/>
          <w:snapToGrid/>
          <w:color w:val="auto"/>
          <w:spacing w:val="0"/>
          <w:kern w:val="0"/>
          <w:sz w:val="32"/>
          <w:szCs w:val="32"/>
          <w:highlight w:val="none"/>
          <w:lang w:val="en-US" w:eastAsia="zh-CN"/>
        </w:rPr>
        <w:t>’</w:t>
      </w:r>
      <w:r>
        <w:rPr>
          <w:rFonts w:hint="default" w:ascii="Times New Roman" w:hAnsi="Times New Roman" w:eastAsia="仿宋_GB2312" w:cs="Times New Roman"/>
          <w:snapToGrid/>
          <w:color w:val="auto"/>
          <w:spacing w:val="0"/>
          <w:kern w:val="0"/>
          <w:sz w:val="32"/>
          <w:szCs w:val="32"/>
          <w:highlight w:val="none"/>
          <w:lang w:val="en-US" w:eastAsia="zh-CN"/>
        </w:rPr>
        <w:t>的原则，适用本规定实施行政处罚；两种以上行政违法行为有牵连关系的，适用吸收原则，选择较重的违法行为从重处罚。”的规定，</w:t>
      </w:r>
      <w:r>
        <w:rPr>
          <w:rFonts w:hint="eastAsia" w:ascii="Times New Roman" w:hAnsi="Times New Roman" w:eastAsia="仿宋_GB2312" w:cs="Times New Roman"/>
          <w:color w:val="auto"/>
          <w:spacing w:val="0"/>
          <w:sz w:val="32"/>
          <w:szCs w:val="32"/>
          <w:highlight w:val="none"/>
          <w:lang w:val="en-US" w:eastAsia="zh-CN"/>
        </w:rPr>
        <w:t>当事人</w:t>
      </w:r>
      <w:r>
        <w:rPr>
          <w:rFonts w:hint="default" w:ascii="Times New Roman" w:hAnsi="Times New Roman" w:eastAsia="仿宋_GB2312" w:cs="Times New Roman"/>
          <w:snapToGrid/>
          <w:color w:val="auto"/>
          <w:spacing w:val="0"/>
          <w:kern w:val="0"/>
          <w:sz w:val="32"/>
          <w:szCs w:val="32"/>
          <w:highlight w:val="none"/>
          <w:lang w:val="en-US" w:eastAsia="zh-CN"/>
        </w:rPr>
        <w:t>的</w:t>
      </w:r>
      <w:r>
        <w:rPr>
          <w:rFonts w:hint="eastAsia" w:ascii="Times New Roman" w:hAnsi="Times New Roman" w:eastAsia="仿宋_GB2312" w:cs="Times New Roman"/>
          <w:snapToGrid/>
          <w:color w:val="auto"/>
          <w:spacing w:val="0"/>
          <w:kern w:val="0"/>
          <w:sz w:val="32"/>
          <w:szCs w:val="32"/>
          <w:highlight w:val="none"/>
          <w:lang w:val="en-US" w:eastAsia="zh-CN"/>
        </w:rPr>
        <w:t>三</w:t>
      </w:r>
      <w:r>
        <w:rPr>
          <w:rFonts w:hint="default" w:ascii="Times New Roman" w:hAnsi="Times New Roman" w:eastAsia="仿宋_GB2312" w:cs="Times New Roman"/>
          <w:snapToGrid/>
          <w:color w:val="auto"/>
          <w:spacing w:val="0"/>
          <w:kern w:val="0"/>
          <w:sz w:val="32"/>
          <w:szCs w:val="32"/>
          <w:highlight w:val="none"/>
          <w:lang w:val="en-US" w:eastAsia="zh-CN"/>
        </w:rPr>
        <w:t>个违法行为没有牵连关系，遵循“分别处罚、一并执行”的原则，</w:t>
      </w:r>
      <w:r>
        <w:rPr>
          <w:rFonts w:hint="eastAsia" w:ascii="Times New Roman" w:hAnsi="Times New Roman" w:eastAsia="仿宋_GB2312" w:cs="Times New Roman"/>
          <w:snapToGrid/>
          <w:color w:val="auto"/>
          <w:spacing w:val="0"/>
          <w:kern w:val="0"/>
          <w:sz w:val="32"/>
          <w:szCs w:val="32"/>
          <w:highlight w:val="none"/>
          <w:lang w:val="en-US" w:eastAsia="zh-CN"/>
        </w:rPr>
        <w:t>本机关现</w:t>
      </w:r>
      <w:r>
        <w:rPr>
          <w:rFonts w:hint="default" w:ascii="Times New Roman" w:hAnsi="Times New Roman" w:eastAsia="仿宋_GB2312" w:cs="Times New Roman"/>
          <w:snapToGrid/>
          <w:color w:val="auto"/>
          <w:spacing w:val="0"/>
          <w:kern w:val="0"/>
          <w:sz w:val="32"/>
          <w:szCs w:val="32"/>
          <w:highlight w:val="none"/>
          <w:lang w:val="en-US" w:eastAsia="zh-CN"/>
        </w:rPr>
        <w:t>责令</w:t>
      </w:r>
      <w:r>
        <w:rPr>
          <w:rFonts w:hint="eastAsia" w:ascii="Times New Roman" w:hAnsi="Times New Roman" w:eastAsia="仿宋_GB2312" w:cs="Times New Roman"/>
          <w:color w:val="auto"/>
          <w:spacing w:val="0"/>
          <w:sz w:val="32"/>
          <w:szCs w:val="32"/>
          <w:highlight w:val="none"/>
          <w:lang w:val="en-US" w:eastAsia="zh-CN"/>
        </w:rPr>
        <w:t>当事人</w:t>
      </w:r>
      <w:r>
        <w:rPr>
          <w:rFonts w:hint="default" w:ascii="Times New Roman" w:hAnsi="Times New Roman" w:eastAsia="仿宋_GB2312" w:cs="Times New Roman"/>
          <w:snapToGrid/>
          <w:color w:val="auto"/>
          <w:spacing w:val="0"/>
          <w:kern w:val="0"/>
          <w:sz w:val="32"/>
          <w:szCs w:val="32"/>
          <w:highlight w:val="none"/>
          <w:lang w:val="en-US" w:eastAsia="zh-CN"/>
        </w:rPr>
        <w:t>立即改正上述违法行为，并作出如下行政处罚：</w:t>
      </w:r>
    </w:p>
    <w:p w14:paraId="725B8B47">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1.对</w:t>
      </w:r>
      <w:r>
        <w:rPr>
          <w:rFonts w:hint="eastAsia" w:ascii="Times New Roman" w:hAnsi="Times New Roman" w:eastAsia="仿宋_GB2312" w:cs="Times New Roman"/>
          <w:color w:val="auto"/>
          <w:spacing w:val="0"/>
          <w:sz w:val="32"/>
          <w:szCs w:val="32"/>
          <w:highlight w:val="none"/>
          <w:lang w:val="en-US" w:eastAsia="zh-CN"/>
        </w:rPr>
        <w:t>当事人</w:t>
      </w:r>
      <w:r>
        <w:rPr>
          <w:rFonts w:hint="eastAsia" w:ascii="Times New Roman" w:hAnsi="Times New Roman" w:eastAsia="仿宋_GB2312" w:cs="Times New Roman"/>
          <w:snapToGrid/>
          <w:color w:val="auto"/>
          <w:spacing w:val="0"/>
          <w:kern w:val="0"/>
          <w:sz w:val="32"/>
          <w:szCs w:val="32"/>
          <w:highlight w:val="none"/>
          <w:lang w:val="en-US" w:eastAsia="zh-CN"/>
        </w:rPr>
        <w:t>不执行政府定价的违法行为给予罚款2400元（贰仟肆佰元整）。</w:t>
      </w:r>
    </w:p>
    <w:p w14:paraId="64A56B65">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2.对</w:t>
      </w:r>
      <w:r>
        <w:rPr>
          <w:rFonts w:hint="eastAsia" w:ascii="Times New Roman" w:hAnsi="Times New Roman" w:eastAsia="仿宋_GB2312" w:cs="Times New Roman"/>
          <w:color w:val="auto"/>
          <w:spacing w:val="0"/>
          <w:sz w:val="32"/>
          <w:szCs w:val="32"/>
          <w:highlight w:val="none"/>
          <w:lang w:val="en-US" w:eastAsia="zh-CN"/>
        </w:rPr>
        <w:t>当事人</w:t>
      </w:r>
      <w:r>
        <w:rPr>
          <w:rFonts w:hint="eastAsia" w:ascii="Times New Roman" w:hAnsi="Times New Roman" w:eastAsia="仿宋_GB2312" w:cs="Times New Roman"/>
          <w:snapToGrid/>
          <w:color w:val="auto"/>
          <w:spacing w:val="0"/>
          <w:kern w:val="0"/>
          <w:sz w:val="32"/>
          <w:szCs w:val="32"/>
          <w:highlight w:val="none"/>
          <w:lang w:val="en-US" w:eastAsia="zh-CN"/>
        </w:rPr>
        <w:t>销售商品未按规定明码标价</w:t>
      </w:r>
      <w:r>
        <w:rPr>
          <w:rFonts w:hint="default" w:ascii="Times New Roman" w:hAnsi="Times New Roman" w:eastAsia="仿宋_GB2312" w:cs="Times New Roman"/>
          <w:snapToGrid/>
          <w:color w:val="auto"/>
          <w:spacing w:val="0"/>
          <w:kern w:val="0"/>
          <w:sz w:val="32"/>
          <w:szCs w:val="32"/>
          <w:highlight w:val="none"/>
          <w:lang w:val="en-US" w:eastAsia="zh-CN"/>
        </w:rPr>
        <w:t>的违法行为</w:t>
      </w:r>
      <w:r>
        <w:rPr>
          <w:rFonts w:hint="eastAsia" w:ascii="Times New Roman" w:hAnsi="Times New Roman" w:eastAsia="仿宋_GB2312" w:cs="Times New Roman"/>
          <w:snapToGrid/>
          <w:color w:val="auto"/>
          <w:spacing w:val="0"/>
          <w:kern w:val="0"/>
          <w:sz w:val="32"/>
          <w:szCs w:val="32"/>
          <w:highlight w:val="none"/>
          <w:lang w:val="en-US" w:eastAsia="zh-CN"/>
        </w:rPr>
        <w:t>给予罚款</w:t>
      </w:r>
      <w:r>
        <w:rPr>
          <w:rFonts w:ascii="Times New Roman" w:hAnsi="Times New Roman" w:eastAsia="仿宋_GB2312" w:cs="Times New Roman"/>
          <w:color w:val="auto"/>
          <w:sz w:val="32"/>
          <w:szCs w:val="32"/>
          <w:highlight w:val="none"/>
        </w:rPr>
        <w:t>1250元</w:t>
      </w:r>
      <w:r>
        <w:rPr>
          <w:rFonts w:hint="eastAsia" w:ascii="Times New Roman" w:hAnsi="Times New Roman" w:eastAsia="仿宋_GB2312" w:cs="Times New Roman"/>
          <w:snapToGrid/>
          <w:color w:val="auto"/>
          <w:spacing w:val="0"/>
          <w:kern w:val="0"/>
          <w:sz w:val="32"/>
          <w:szCs w:val="32"/>
          <w:highlight w:val="none"/>
          <w:lang w:val="en-US" w:eastAsia="zh-CN"/>
        </w:rPr>
        <w:t>（壹仟贰佰伍拾元整）；</w:t>
      </w:r>
    </w:p>
    <w:p w14:paraId="74DBE854">
      <w:pPr>
        <w:keepNext w:val="0"/>
        <w:keepLines w:val="0"/>
        <w:pageBreakBefore w:val="0"/>
        <w:widowControl w:val="0"/>
        <w:kinsoku/>
        <w:wordWrap/>
        <w:overflowPunct/>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snapToGrid/>
          <w:color w:val="auto"/>
          <w:spacing w:val="0"/>
          <w:kern w:val="0"/>
          <w:sz w:val="32"/>
          <w:szCs w:val="32"/>
          <w:highlight w:val="none"/>
          <w:lang w:val="en-US" w:eastAsia="zh-CN"/>
        </w:rPr>
      </w:pPr>
      <w:r>
        <w:rPr>
          <w:rFonts w:hint="eastAsia" w:ascii="Times New Roman" w:hAnsi="Times New Roman" w:eastAsia="仿宋_GB2312" w:cs="Times New Roman"/>
          <w:snapToGrid/>
          <w:color w:val="auto"/>
          <w:spacing w:val="0"/>
          <w:kern w:val="0"/>
          <w:sz w:val="32"/>
          <w:szCs w:val="32"/>
          <w:highlight w:val="none"/>
          <w:lang w:val="en-US" w:eastAsia="zh-CN"/>
        </w:rPr>
        <w:t>3.对</w:t>
      </w:r>
      <w:r>
        <w:rPr>
          <w:rFonts w:hint="eastAsia" w:ascii="Times New Roman" w:hAnsi="Times New Roman" w:eastAsia="仿宋_GB2312" w:cs="Times New Roman"/>
          <w:color w:val="auto"/>
          <w:spacing w:val="0"/>
          <w:sz w:val="32"/>
          <w:szCs w:val="32"/>
          <w:highlight w:val="none"/>
          <w:lang w:val="en-US" w:eastAsia="zh-CN"/>
        </w:rPr>
        <w:t>当事人</w:t>
      </w:r>
      <w:r>
        <w:rPr>
          <w:rFonts w:hint="default" w:ascii="Times New Roman" w:hAnsi="Times New Roman" w:eastAsia="仿宋_GB2312" w:cs="Times New Roman"/>
          <w:color w:val="auto"/>
          <w:spacing w:val="0"/>
          <w:sz w:val="32"/>
          <w:szCs w:val="32"/>
          <w:highlight w:val="none"/>
          <w:lang w:val="en-US" w:eastAsia="zh-CN"/>
        </w:rPr>
        <w:t>在标价之外加价出售商品</w:t>
      </w:r>
      <w:r>
        <w:rPr>
          <w:rFonts w:hint="default" w:ascii="Times New Roman" w:hAnsi="Times New Roman" w:eastAsia="仿宋_GB2312" w:cs="Times New Roman"/>
          <w:snapToGrid/>
          <w:color w:val="auto"/>
          <w:spacing w:val="0"/>
          <w:kern w:val="0"/>
          <w:sz w:val="32"/>
          <w:szCs w:val="32"/>
          <w:highlight w:val="none"/>
          <w:lang w:val="en-US" w:eastAsia="zh-CN"/>
        </w:rPr>
        <w:t>的违法行为</w:t>
      </w:r>
      <w:r>
        <w:rPr>
          <w:rFonts w:hint="eastAsia" w:ascii="Times New Roman" w:hAnsi="Times New Roman" w:eastAsia="仿宋_GB2312" w:cs="Times New Roman"/>
          <w:snapToGrid/>
          <w:color w:val="auto"/>
          <w:spacing w:val="0"/>
          <w:kern w:val="0"/>
          <w:sz w:val="32"/>
          <w:szCs w:val="32"/>
          <w:highlight w:val="none"/>
          <w:lang w:val="en-US" w:eastAsia="zh-CN"/>
        </w:rPr>
        <w:t>给予罚款</w:t>
      </w:r>
      <w:r>
        <w:rPr>
          <w:rFonts w:ascii="Times New Roman" w:hAnsi="Times New Roman" w:eastAsia="仿宋_GB2312" w:cs="Times New Roman"/>
          <w:color w:val="auto"/>
          <w:sz w:val="32"/>
          <w:szCs w:val="32"/>
          <w:highlight w:val="none"/>
        </w:rPr>
        <w:t>1250元</w:t>
      </w:r>
      <w:r>
        <w:rPr>
          <w:rFonts w:hint="eastAsia" w:ascii="Times New Roman" w:hAnsi="Times New Roman" w:eastAsia="仿宋_GB2312" w:cs="Times New Roman"/>
          <w:snapToGrid/>
          <w:color w:val="auto"/>
          <w:spacing w:val="0"/>
          <w:kern w:val="0"/>
          <w:sz w:val="32"/>
          <w:szCs w:val="32"/>
          <w:highlight w:val="none"/>
          <w:lang w:val="en-US" w:eastAsia="zh-CN"/>
        </w:rPr>
        <w:t>（壹仟贰佰伍拾元整）。</w:t>
      </w:r>
    </w:p>
    <w:p w14:paraId="636409F4">
      <w:pPr>
        <w:pStyle w:val="7"/>
        <w:adjustRightInd/>
        <w:snapToGrid/>
        <w:spacing w:line="560" w:lineRule="exact"/>
        <w:rPr>
          <w:rFonts w:hint="default" w:ascii="Times New Roman" w:hAnsi="Times New Roman" w:eastAsia="仿宋_GB2312" w:cs="Times New Roman"/>
          <w:color w:val="auto"/>
          <w:spacing w:val="4"/>
          <w:sz w:val="32"/>
          <w:szCs w:val="32"/>
          <w:highlight w:val="none"/>
        </w:rPr>
      </w:pPr>
      <w:r>
        <w:rPr>
          <w:rFonts w:hint="eastAsia" w:ascii="Times New Roman" w:hAnsi="Times New Roman" w:eastAsia="仿宋_GB2312" w:cs="Times New Roman"/>
          <w:snapToGrid/>
          <w:color w:val="auto"/>
          <w:spacing w:val="0"/>
          <w:kern w:val="0"/>
          <w:sz w:val="32"/>
          <w:szCs w:val="32"/>
          <w:highlight w:val="none"/>
          <w:lang w:val="en-US" w:eastAsia="zh-CN"/>
        </w:rPr>
        <w:t>罚款合计4900元（肆仟玖佰元整）</w:t>
      </w:r>
      <w:r>
        <w:rPr>
          <w:rFonts w:hint="default" w:ascii="Times New Roman" w:hAnsi="Times New Roman" w:eastAsia="仿宋_GB2312" w:cs="Times New Roman"/>
          <w:color w:val="auto"/>
          <w:spacing w:val="4"/>
          <w:sz w:val="32"/>
          <w:szCs w:val="32"/>
          <w:highlight w:val="none"/>
        </w:rPr>
        <w:t>。</w:t>
      </w:r>
    </w:p>
    <w:p w14:paraId="7BDF164C">
      <w:pPr>
        <w:pStyle w:val="7"/>
        <w:keepNext w:val="0"/>
        <w:keepLines w:val="0"/>
        <w:pageBreakBefore w:val="0"/>
        <w:widowControl w:val="0"/>
        <w:kinsoku/>
        <w:wordWrap/>
        <w:overflowPunct/>
        <w:topLinePunct/>
        <w:autoSpaceDE w:val="0"/>
        <w:autoSpaceDN/>
        <w:bidi w:val="0"/>
        <w:adjustRightInd/>
        <w:snapToGrid/>
        <w:spacing w:line="560" w:lineRule="exact"/>
        <w:ind w:left="0" w:firstLine="640"/>
        <w:jc w:val="both"/>
        <w:textAlignment w:val="auto"/>
        <w:rPr>
          <w:rFonts w:hint="default" w:ascii="Times New Roman" w:hAnsi="Times New Roman" w:eastAsia="仿宋_GB2312" w:cs="Times New Roman"/>
          <w:snapToGrid w:val="0"/>
          <w:color w:val="auto"/>
          <w:sz w:val="32"/>
          <w:szCs w:val="32"/>
          <w:highlight w:val="none"/>
          <w:lang w:val="en-US" w:eastAsia="zh-CN" w:bidi="ar-SA"/>
        </w:rPr>
      </w:pPr>
      <w:r>
        <w:rPr>
          <w:rFonts w:hint="default" w:ascii="Times New Roman" w:hAnsi="Times New Roman" w:eastAsia="仿宋_GB2312" w:cs="Times New Roman"/>
          <w:color w:val="auto"/>
          <w:sz w:val="32"/>
          <w:szCs w:val="32"/>
        </w:rPr>
        <w:t>请于收到本处罚决定书之日起十五日内，凭 </w:t>
      </w:r>
      <w:r>
        <w:rPr>
          <w:rFonts w:hint="default" w:ascii="Times New Roman" w:hAnsi="Times New Roman" w:eastAsia="仿宋_GB2312" w:cs="Times New Roman"/>
          <w:color w:val="auto"/>
          <w:sz w:val="32"/>
          <w:szCs w:val="32"/>
          <w:u w:val="single"/>
        </w:rPr>
        <w:t>新疆生产建设兵团</w:t>
      </w:r>
      <w:r>
        <w:rPr>
          <w:rFonts w:hint="default" w:ascii="Times New Roman" w:hAnsi="Times New Roman" w:eastAsia="仿宋_GB2312" w:cs="Times New Roman"/>
          <w:color w:val="auto"/>
          <w:sz w:val="32"/>
          <w:szCs w:val="32"/>
        </w:rPr>
        <w:t>非税收入电子缴款通知书的缴款识别码到</w:t>
      </w:r>
      <w:r>
        <w:rPr>
          <w:rFonts w:hint="default" w:ascii="Times New Roman" w:hAnsi="Times New Roman" w:eastAsia="仿宋_GB2312" w:cs="Times New Roman"/>
          <w:color w:val="auto"/>
          <w:sz w:val="32"/>
          <w:szCs w:val="32"/>
          <w:u w:val="single"/>
        </w:rPr>
        <w:t>指定</w:t>
      </w:r>
      <w:r>
        <w:rPr>
          <w:rFonts w:hint="default" w:ascii="Times New Roman" w:hAnsi="Times New Roman" w:eastAsia="仿宋_GB2312" w:cs="Times New Roman"/>
          <w:color w:val="auto"/>
          <w:sz w:val="32"/>
          <w:szCs w:val="32"/>
        </w:rPr>
        <w:t>银行或者通过</w:t>
      </w:r>
      <w:r>
        <w:rPr>
          <w:rFonts w:hint="default" w:ascii="Times New Roman" w:hAnsi="Times New Roman" w:eastAsia="仿宋_GB2312" w:cs="Times New Roman"/>
          <w:color w:val="auto"/>
          <w:sz w:val="32"/>
          <w:szCs w:val="32"/>
          <w:highlight w:val="none"/>
        </w:rPr>
        <w:t>电子支付系统缴纳罚没款。逾期不缴纳罚款的，依据《中华人民共和国行政处罚法》第七十二条的规定，本局将每日按罚款数额的</w:t>
      </w:r>
      <w:r>
        <w:rPr>
          <w:rFonts w:hint="eastAsia" w:ascii="Times New Roman" w:hAnsi="Times New Roman" w:eastAsia="仿宋_GB2312" w:cs="Times New Roman"/>
          <w:color w:val="auto"/>
          <w:sz w:val="32"/>
          <w:szCs w:val="32"/>
          <w:highlight w:val="none"/>
          <w:lang w:eastAsia="zh-CN"/>
        </w:rPr>
        <w:t>3%</w:t>
      </w:r>
      <w:r>
        <w:rPr>
          <w:rFonts w:hint="default" w:ascii="Times New Roman" w:hAnsi="Times New Roman" w:eastAsia="仿宋_GB2312" w:cs="Times New Roman"/>
          <w:color w:val="auto"/>
          <w:sz w:val="32"/>
          <w:szCs w:val="32"/>
          <w:highlight w:val="none"/>
        </w:rPr>
        <w:t>加处罚款，并依法申请人民法院强制执行。</w:t>
      </w:r>
    </w:p>
    <w:p w14:paraId="182871D5">
      <w:pPr>
        <w:pStyle w:val="9"/>
        <w:keepNext w:val="0"/>
        <w:keepLines w:val="0"/>
        <w:pageBreakBefore w:val="0"/>
        <w:widowControl w:val="0"/>
        <w:kinsoku/>
        <w:wordWrap/>
        <w:overflowPunct/>
        <w:topLinePunct/>
        <w:autoSpaceDE w:val="0"/>
        <w:autoSpaceDN/>
        <w:bidi w:val="0"/>
        <w:adjustRightInd/>
        <w:snapToGrid/>
        <w:spacing w:line="560" w:lineRule="exact"/>
        <w:ind w:left="0" w:firstLine="64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snapToGrid w:val="0"/>
          <w:color w:val="auto"/>
          <w:sz w:val="32"/>
          <w:szCs w:val="32"/>
          <w:highlight w:val="none"/>
          <w:u w:val="none"/>
          <w:lang w:val="en-US" w:eastAsia="zh-CN" w:bidi="ar-SA"/>
        </w:rPr>
        <w:t>如</w:t>
      </w:r>
      <w:r>
        <w:rPr>
          <w:rFonts w:hint="default" w:ascii="Times New Roman" w:hAnsi="Times New Roman" w:cs="Times New Roman"/>
          <w:snapToGrid w:val="0"/>
          <w:color w:val="auto"/>
          <w:sz w:val="32"/>
          <w:szCs w:val="32"/>
          <w:highlight w:val="none"/>
          <w:u w:val="none"/>
          <w:lang w:val="en-US" w:eastAsia="zh-CN" w:bidi="ar-SA"/>
        </w:rPr>
        <w:t>当事人不服</w:t>
      </w:r>
      <w:r>
        <w:rPr>
          <w:rFonts w:hint="default" w:ascii="Times New Roman" w:hAnsi="Times New Roman" w:cs="Times New Roman"/>
          <w:color w:val="auto"/>
          <w:kern w:val="2"/>
          <w:sz w:val="32"/>
          <w:szCs w:val="32"/>
          <w:highlight w:val="none"/>
          <w:u w:val="none"/>
          <w:lang w:val="en-US" w:eastAsia="zh-CN"/>
        </w:rPr>
        <w:t>本</w:t>
      </w:r>
      <w:r>
        <w:rPr>
          <w:rFonts w:hint="default" w:ascii="Times New Roman" w:hAnsi="Times New Roman" w:eastAsia="仿宋_GB2312" w:cs="Times New Roman"/>
          <w:color w:val="auto"/>
          <w:kern w:val="2"/>
          <w:sz w:val="32"/>
          <w:szCs w:val="32"/>
          <w:highlight w:val="none"/>
          <w:u w:val="none"/>
        </w:rPr>
        <w:t>行政处罚决定，应当</w:t>
      </w:r>
      <w:r>
        <w:rPr>
          <w:rFonts w:hint="eastAsia" w:ascii="Times New Roman" w:hAnsi="Times New Roman" w:cs="Times New Roman"/>
          <w:color w:val="auto"/>
          <w:kern w:val="2"/>
          <w:sz w:val="32"/>
          <w:szCs w:val="32"/>
          <w:highlight w:val="none"/>
          <w:u w:val="none"/>
          <w:lang w:val="en-US" w:eastAsia="zh-CN"/>
        </w:rPr>
        <w:t>在</w:t>
      </w:r>
      <w:r>
        <w:rPr>
          <w:rFonts w:hint="default" w:ascii="Times New Roman" w:hAnsi="Times New Roman" w:eastAsia="仿宋_GB2312" w:cs="Times New Roman"/>
          <w:color w:val="auto"/>
          <w:kern w:val="2"/>
          <w:sz w:val="32"/>
          <w:szCs w:val="32"/>
          <w:highlight w:val="none"/>
          <w:u w:val="none"/>
        </w:rPr>
        <w:t>收到本决定书之日起</w:t>
      </w:r>
      <w:r>
        <w:rPr>
          <w:rFonts w:hint="default" w:ascii="Times New Roman" w:hAnsi="Times New Roman" w:eastAsia="仿宋_GB2312" w:cs="Times New Roman"/>
          <w:color w:val="auto"/>
          <w:kern w:val="2"/>
          <w:sz w:val="32"/>
          <w:szCs w:val="32"/>
          <w:highlight w:val="none"/>
          <w:u w:val="single"/>
        </w:rPr>
        <w:t>六十日</w:t>
      </w:r>
      <w:r>
        <w:rPr>
          <w:rFonts w:hint="default" w:ascii="Times New Roman" w:hAnsi="Times New Roman" w:eastAsia="仿宋_GB2312" w:cs="Times New Roman"/>
          <w:color w:val="auto"/>
          <w:kern w:val="2"/>
          <w:sz w:val="32"/>
          <w:szCs w:val="32"/>
          <w:highlight w:val="none"/>
          <w:u w:val="none"/>
        </w:rPr>
        <w:t>内向</w:t>
      </w:r>
      <w:r>
        <w:rPr>
          <w:rFonts w:hint="default" w:ascii="Times New Roman" w:hAnsi="Times New Roman" w:eastAsia="仿宋_GB2312" w:cs="Times New Roman"/>
          <w:color w:val="auto"/>
          <w:kern w:val="2"/>
          <w:sz w:val="32"/>
          <w:szCs w:val="32"/>
          <w:highlight w:val="none"/>
          <w:u w:val="single"/>
        </w:rPr>
        <w:t>第十四师</w:t>
      </w:r>
      <w:r>
        <w:rPr>
          <w:rFonts w:hint="eastAsia" w:ascii="Times New Roman" w:hAnsi="Times New Roman" w:cs="Times New Roman"/>
          <w:color w:val="auto"/>
          <w:kern w:val="2"/>
          <w:sz w:val="32"/>
          <w:szCs w:val="32"/>
          <w:highlight w:val="none"/>
          <w:u w:val="single"/>
          <w:lang w:val="en-US" w:eastAsia="zh-CN"/>
        </w:rPr>
        <w:t>先行</w:t>
      </w:r>
      <w:r>
        <w:rPr>
          <w:rFonts w:hint="default" w:ascii="Times New Roman" w:hAnsi="Times New Roman" w:eastAsia="仿宋_GB2312" w:cs="Times New Roman"/>
          <w:color w:val="auto"/>
          <w:kern w:val="2"/>
          <w:sz w:val="32"/>
          <w:szCs w:val="32"/>
          <w:highlight w:val="none"/>
          <w:u w:val="none"/>
        </w:rPr>
        <w:t>申请行政复议，</w:t>
      </w:r>
      <w:r>
        <w:rPr>
          <w:rFonts w:hint="eastAsia" w:ascii="Times New Roman" w:hAnsi="Times New Roman" w:cs="Times New Roman"/>
          <w:color w:val="auto"/>
          <w:kern w:val="2"/>
          <w:sz w:val="32"/>
          <w:szCs w:val="32"/>
          <w:highlight w:val="none"/>
          <w:u w:val="none"/>
          <w:lang w:val="en-US" w:eastAsia="zh-CN"/>
        </w:rPr>
        <w:t>对行政复议决定不服的，</w:t>
      </w:r>
      <w:r>
        <w:rPr>
          <w:rFonts w:hint="default" w:ascii="Times New Roman" w:hAnsi="Times New Roman" w:eastAsia="仿宋_GB2312" w:cs="Times New Roman"/>
          <w:color w:val="auto"/>
          <w:sz w:val="32"/>
          <w:szCs w:val="32"/>
          <w:highlight w:val="none"/>
          <w:u w:val="none"/>
        </w:rPr>
        <w:t>可以在</w:t>
      </w:r>
      <w:r>
        <w:rPr>
          <w:rFonts w:hint="eastAsia" w:ascii="Times New Roman" w:hAnsi="Times New Roman" w:cs="Times New Roman"/>
          <w:color w:val="auto"/>
          <w:sz w:val="32"/>
          <w:szCs w:val="32"/>
          <w:highlight w:val="none"/>
          <w:u w:val="single"/>
          <w:lang w:val="en-US" w:eastAsia="zh-CN"/>
        </w:rPr>
        <w:t>十五日</w:t>
      </w:r>
      <w:r>
        <w:rPr>
          <w:rFonts w:hint="default" w:ascii="Times New Roman" w:hAnsi="Times New Roman" w:eastAsia="仿宋_GB2312" w:cs="Times New Roman"/>
          <w:color w:val="auto"/>
          <w:sz w:val="32"/>
          <w:szCs w:val="32"/>
          <w:highlight w:val="none"/>
          <w:u w:val="none"/>
        </w:rPr>
        <w:t>内依法向</w:t>
      </w:r>
      <w:r>
        <w:rPr>
          <w:rFonts w:hint="default" w:ascii="Times New Roman" w:hAnsi="Times New Roman" w:eastAsia="仿宋_GB2312" w:cs="Times New Roman"/>
          <w:color w:val="auto"/>
          <w:sz w:val="32"/>
          <w:szCs w:val="32"/>
          <w:highlight w:val="none"/>
          <w:u w:val="single"/>
          <w:lang w:val="en-US" w:eastAsia="zh-CN"/>
        </w:rPr>
        <w:t>新疆生产建设兵团</w:t>
      </w:r>
      <w:r>
        <w:rPr>
          <w:rFonts w:hint="default" w:ascii="Times New Roman" w:hAnsi="Times New Roman" w:eastAsia="仿宋_GB2312" w:cs="Times New Roman"/>
          <w:color w:val="auto"/>
          <w:sz w:val="32"/>
          <w:szCs w:val="32"/>
          <w:highlight w:val="none"/>
          <w:u w:val="single"/>
        </w:rPr>
        <w:t>和田垦区人民法院</w:t>
      </w:r>
      <w:r>
        <w:rPr>
          <w:rFonts w:hint="default" w:ascii="Times New Roman" w:hAnsi="Times New Roman" w:eastAsia="仿宋_GB2312" w:cs="Times New Roman"/>
          <w:color w:val="auto"/>
          <w:sz w:val="32"/>
          <w:szCs w:val="32"/>
          <w:highlight w:val="none"/>
          <w:u w:val="none"/>
        </w:rPr>
        <w:t>提起行政诉讼。复议和诉讼期间，行政处罚不停止执行。</w:t>
      </w:r>
    </w:p>
    <w:p w14:paraId="37C8C236">
      <w:pPr>
        <w:pStyle w:val="7"/>
        <w:keepNext w:val="0"/>
        <w:keepLines w:val="0"/>
        <w:pageBreakBefore w:val="0"/>
        <w:wordWrap/>
        <w:overflowPunct/>
        <w:autoSpaceDE w:val="0"/>
        <w:bidi w:val="0"/>
        <w:adjustRightInd/>
        <w:snapToGrid/>
        <w:spacing w:line="560" w:lineRule="exact"/>
        <w:ind w:left="0" w:leftChars="0" w:firstLine="0" w:firstLineChars="0"/>
        <w:textAlignment w:val="auto"/>
      </w:pPr>
    </w:p>
    <w:p w14:paraId="6F682B72">
      <w:pPr>
        <w:pStyle w:val="7"/>
        <w:keepNext w:val="0"/>
        <w:keepLines w:val="0"/>
        <w:pageBreakBefore w:val="0"/>
        <w:wordWrap/>
        <w:overflowPunct/>
        <w:autoSpaceDE w:val="0"/>
        <w:bidi w:val="0"/>
        <w:adjustRightInd/>
        <w:snapToGrid/>
        <w:spacing w:line="560" w:lineRule="exact"/>
        <w:ind w:left="0" w:leftChars="0" w:firstLine="0" w:firstLineChars="0"/>
        <w:textAlignment w:val="auto"/>
      </w:pPr>
    </w:p>
    <w:p w14:paraId="6DED35ED">
      <w:pPr>
        <w:pStyle w:val="7"/>
        <w:keepNext w:val="0"/>
        <w:keepLines w:val="0"/>
        <w:pageBreakBefore w:val="0"/>
        <w:wordWrap/>
        <w:overflowPunct/>
        <w:autoSpaceDE w:val="0"/>
        <w:bidi w:val="0"/>
        <w:adjustRightInd/>
        <w:snapToGrid/>
        <w:spacing w:line="560" w:lineRule="exact"/>
        <w:ind w:left="0"/>
        <w:textAlignment w:val="auto"/>
      </w:pPr>
    </w:p>
    <w:p w14:paraId="122FE4AB">
      <w:pPr>
        <w:keepNext w:val="0"/>
        <w:keepLines w:val="0"/>
        <w:pageBreakBefore w:val="0"/>
        <w:widowControl w:val="0"/>
        <w:tabs>
          <w:tab w:val="left" w:pos="5667"/>
        </w:tabs>
        <w:kinsoku/>
        <w:wordWrap/>
        <w:overflowPunct/>
        <w:topLinePunct/>
        <w:autoSpaceDE w:val="0"/>
        <w:autoSpaceDN/>
        <w:bidi w:val="0"/>
        <w:adjustRightInd/>
        <w:snapToGrid/>
        <w:spacing w:line="560" w:lineRule="exact"/>
        <w:ind w:left="0" w:firstLine="3817" w:firstLineChars="1193"/>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第十四师市场监督管理局 </w:t>
      </w:r>
    </w:p>
    <w:p w14:paraId="65C69F25">
      <w:pPr>
        <w:keepNext w:val="0"/>
        <w:keepLines w:val="0"/>
        <w:pageBreakBefore w:val="0"/>
        <w:widowControl w:val="0"/>
        <w:tabs>
          <w:tab w:val="left" w:pos="5667"/>
        </w:tabs>
        <w:kinsoku/>
        <w:wordWrap/>
        <w:overflowPunct/>
        <w:topLinePunct/>
        <w:autoSpaceDE w:val="0"/>
        <w:autoSpaceDN/>
        <w:bidi w:val="0"/>
        <w:adjustRightInd/>
        <w:snapToGrid/>
        <w:spacing w:line="560" w:lineRule="exact"/>
        <w:ind w:left="0" w:firstLine="5120" w:firstLineChars="16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 印 章 ）</w:t>
      </w:r>
    </w:p>
    <w:p w14:paraId="524B0D67">
      <w:pPr>
        <w:keepNext w:val="0"/>
        <w:keepLines w:val="0"/>
        <w:pageBreakBefore w:val="0"/>
        <w:widowControl w:val="0"/>
        <w:kinsoku/>
        <w:wordWrap/>
        <w:overflowPunct/>
        <w:topLinePunct/>
        <w:autoSpaceDE w:val="0"/>
        <w:autoSpaceDN/>
        <w:bidi w:val="0"/>
        <w:adjustRightInd/>
        <w:snapToGrid/>
        <w:spacing w:line="560" w:lineRule="exact"/>
        <w:ind w:left="0" w:firstLine="4480" w:firstLineChars="1400"/>
        <w:textAlignment w:val="auto"/>
        <w:rPr>
          <w:rFonts w:ascii="黑体" w:hAnsi="黑体" w:eastAsia="黑体" w:cs="黑体"/>
          <w:color w:val="231F20"/>
          <w:spacing w:val="-31"/>
          <w:w w:val="119"/>
          <w:sz w:val="32"/>
          <w:szCs w:val="32"/>
        </w:rPr>
      </w:pPr>
      <w:r>
        <w:rPr>
          <w:rFonts w:hint="eastAsia" w:ascii="仿宋_GB2312" w:hAnsi="仿宋_GB2312" w:eastAsia="仿宋_GB2312" w:cs="仿宋_GB2312"/>
          <w:color w:val="auto"/>
          <w:sz w:val="32"/>
          <w:szCs w:val="32"/>
        </w:rPr>
        <w:t>2</w:t>
      </w:r>
      <w:r>
        <w:rPr>
          <w:rFonts w:ascii="仿宋_GB2312" w:hAnsi="仿宋_GB2312" w:eastAsia="仿宋_GB2312" w:cs="仿宋_GB2312"/>
          <w:color w:val="auto"/>
          <w:sz w:val="32"/>
          <w:szCs w:val="32"/>
        </w:rPr>
        <w:t>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日</w:t>
      </w:r>
    </w:p>
    <w:p w14:paraId="065A6D0E">
      <w:pPr>
        <w:keepNext w:val="0"/>
        <w:keepLines w:val="0"/>
        <w:pageBreakBefore w:val="0"/>
        <w:widowControl/>
        <w:kinsoku/>
        <w:wordWrap/>
        <w:overflowPunct/>
        <w:topLinePunct/>
        <w:autoSpaceDE w:val="0"/>
        <w:autoSpaceDN/>
        <w:bidi w:val="0"/>
        <w:adjustRightInd/>
        <w:snapToGrid/>
        <w:spacing w:line="540" w:lineRule="exact"/>
        <w:ind w:right="0" w:firstLine="600"/>
        <w:jc w:val="center"/>
        <w:textAlignment w:val="auto"/>
        <w:rPr>
          <w:rFonts w:hint="default" w:ascii="Times New Roman" w:hAnsi="Times New Roman" w:eastAsia="仿宋_GB2312" w:cs="Times New Roman"/>
          <w:color w:val="auto"/>
          <w:sz w:val="32"/>
          <w:szCs w:val="32"/>
        </w:rPr>
      </w:pPr>
    </w:p>
    <w:p w14:paraId="1A6266AF">
      <w:pPr>
        <w:pStyle w:val="7"/>
        <w:ind w:left="0" w:leftChars="0" w:firstLine="0" w:firstLineChars="0"/>
        <w:rPr>
          <w:rFonts w:hint="default" w:ascii="Times New Roman" w:hAnsi="Times New Roman" w:eastAsia="黑体" w:cs="Times New Roman"/>
          <w:color w:val="auto"/>
          <w:sz w:val="30"/>
          <w:szCs w:val="30"/>
        </w:rPr>
      </w:pPr>
    </w:p>
    <w:p w14:paraId="1C59DEA3">
      <w:pPr>
        <w:pStyle w:val="7"/>
        <w:ind w:left="0" w:leftChars="0" w:firstLine="0" w:firstLineChars="0"/>
        <w:rPr>
          <w:rFonts w:hint="default" w:ascii="Times New Roman" w:hAnsi="Times New Roman" w:eastAsia="黑体" w:cs="Times New Roman"/>
          <w:color w:val="auto"/>
          <w:sz w:val="30"/>
          <w:szCs w:val="30"/>
        </w:rPr>
      </w:pPr>
    </w:p>
    <w:p w14:paraId="0F46136A">
      <w:pPr>
        <w:pStyle w:val="7"/>
        <w:ind w:left="0" w:leftChars="0" w:firstLine="0" w:firstLineChars="0"/>
        <w:rPr>
          <w:rFonts w:hint="default" w:ascii="Times New Roman" w:hAnsi="Times New Roman" w:eastAsia="黑体" w:cs="Times New Roman"/>
          <w:color w:val="auto"/>
          <w:sz w:val="30"/>
          <w:szCs w:val="30"/>
        </w:rPr>
      </w:pPr>
    </w:p>
    <w:p w14:paraId="0CCC7A91">
      <w:pPr>
        <w:pStyle w:val="7"/>
        <w:ind w:left="0" w:leftChars="0" w:firstLine="0" w:firstLineChars="0"/>
        <w:rPr>
          <w:rFonts w:hint="default" w:ascii="Times New Roman" w:hAnsi="Times New Roman" w:eastAsia="黑体" w:cs="Times New Roman"/>
          <w:color w:val="auto"/>
          <w:sz w:val="30"/>
          <w:szCs w:val="30"/>
        </w:rPr>
      </w:pPr>
    </w:p>
    <w:p w14:paraId="026E5E0E">
      <w:pPr>
        <w:pStyle w:val="7"/>
        <w:ind w:left="0" w:leftChars="0" w:firstLine="0" w:firstLineChars="0"/>
        <w:rPr>
          <w:rFonts w:hint="default" w:ascii="Times New Roman" w:hAnsi="Times New Roman" w:eastAsia="黑体" w:cs="Times New Roman"/>
          <w:color w:val="auto"/>
          <w:sz w:val="30"/>
          <w:szCs w:val="30"/>
        </w:rPr>
      </w:pPr>
    </w:p>
    <w:p w14:paraId="6CA5ACF7">
      <w:pPr>
        <w:pStyle w:val="7"/>
        <w:ind w:left="0" w:leftChars="0" w:firstLine="0" w:firstLineChars="0"/>
        <w:rPr>
          <w:rFonts w:hint="default" w:ascii="Times New Roman" w:hAnsi="Times New Roman" w:eastAsia="黑体" w:cs="Times New Roman"/>
          <w:color w:val="auto"/>
          <w:sz w:val="30"/>
          <w:szCs w:val="30"/>
        </w:rPr>
      </w:pPr>
    </w:p>
    <w:p w14:paraId="53E487BE">
      <w:pPr>
        <w:pStyle w:val="7"/>
        <w:ind w:left="0" w:leftChars="0" w:firstLine="0" w:firstLineChars="0"/>
        <w:rPr>
          <w:rFonts w:hint="default" w:ascii="Times New Roman" w:hAnsi="Times New Roman" w:eastAsia="黑体" w:cs="Times New Roman"/>
          <w:color w:val="auto"/>
          <w:sz w:val="30"/>
          <w:szCs w:val="30"/>
        </w:rPr>
      </w:pPr>
    </w:p>
    <w:p w14:paraId="2B05F477">
      <w:pPr>
        <w:pStyle w:val="7"/>
        <w:ind w:left="0" w:leftChars="0" w:firstLine="0" w:firstLineChars="0"/>
        <w:rPr>
          <w:rFonts w:hint="default" w:ascii="Times New Roman" w:hAnsi="Times New Roman" w:eastAsia="黑体" w:cs="Times New Roman"/>
          <w:color w:val="auto"/>
          <w:sz w:val="30"/>
          <w:szCs w:val="30"/>
        </w:rPr>
      </w:pPr>
    </w:p>
    <w:p w14:paraId="177E2FB6">
      <w:pPr>
        <w:pStyle w:val="7"/>
        <w:ind w:left="0" w:leftChars="0" w:firstLine="0" w:firstLineChars="0"/>
        <w:rPr>
          <w:rFonts w:hint="default" w:ascii="Times New Roman" w:hAnsi="Times New Roman" w:eastAsia="黑体" w:cs="Times New Roman"/>
          <w:color w:val="auto"/>
          <w:sz w:val="30"/>
          <w:szCs w:val="30"/>
        </w:rPr>
      </w:pPr>
    </w:p>
    <w:p w14:paraId="528EB1A1">
      <w:pPr>
        <w:pStyle w:val="7"/>
        <w:ind w:left="0" w:leftChars="0" w:firstLine="0" w:firstLineChars="0"/>
        <w:rPr>
          <w:rFonts w:hint="default" w:ascii="Times New Roman" w:hAnsi="Times New Roman" w:eastAsia="黑体" w:cs="Times New Roman"/>
          <w:color w:val="auto"/>
          <w:sz w:val="30"/>
          <w:szCs w:val="30"/>
        </w:rPr>
      </w:pPr>
    </w:p>
    <w:p w14:paraId="2C8C724D">
      <w:pPr>
        <w:pStyle w:val="7"/>
        <w:ind w:left="0" w:leftChars="0" w:firstLine="0" w:firstLineChars="0"/>
        <w:rPr>
          <w:rFonts w:hint="default" w:ascii="Times New Roman" w:hAnsi="Times New Roman" w:eastAsia="黑体" w:cs="Times New Roman"/>
          <w:color w:val="auto"/>
          <w:sz w:val="30"/>
          <w:szCs w:val="30"/>
        </w:rPr>
      </w:pPr>
    </w:p>
    <w:p w14:paraId="280EEF48">
      <w:pPr>
        <w:pStyle w:val="7"/>
        <w:ind w:left="0" w:leftChars="0" w:firstLine="0" w:firstLineChars="0"/>
        <w:rPr>
          <w:rFonts w:hint="default" w:ascii="Times New Roman" w:hAnsi="Times New Roman" w:eastAsia="黑体" w:cs="Times New Roman"/>
          <w:color w:val="auto"/>
          <w:sz w:val="30"/>
          <w:szCs w:val="30"/>
        </w:rPr>
      </w:pPr>
    </w:p>
    <w:p w14:paraId="374B2FD5">
      <w:pPr>
        <w:pStyle w:val="7"/>
        <w:ind w:left="0" w:leftChars="0" w:firstLine="0" w:firstLineChars="0"/>
        <w:rPr>
          <w:rFonts w:hint="default" w:ascii="Times New Roman" w:hAnsi="Times New Roman" w:eastAsia="仿宋_GB2312" w:cs="Times New Roman"/>
          <w:b/>
          <w:bCs/>
          <w:color w:val="auto"/>
          <w:sz w:val="28"/>
          <w:szCs w:val="28"/>
        </w:rPr>
      </w:pPr>
      <w:r>
        <w:rPr>
          <w:rFonts w:hint="default" w:ascii="Times New Roman" w:hAnsi="Times New Roman" w:eastAsia="黑体" w:cs="Times New Roman"/>
          <w:color w:val="auto"/>
          <w:sz w:val="30"/>
          <w:szCs w:val="30"/>
        </w:rPr>
        <w:t>（市场监督管理部门将依法向社会公示本行政处罚决定信息）</w:t>
      </w:r>
    </w:p>
    <w:p w14:paraId="04E7373A">
      <w:pPr>
        <w:keepNext w:val="0"/>
        <w:keepLines w:val="0"/>
        <w:pageBreakBefore w:val="0"/>
        <w:widowControl/>
        <w:kinsoku/>
        <w:wordWrap/>
        <w:overflowPunct/>
        <w:topLinePunct/>
        <w:autoSpaceDE w:val="0"/>
        <w:autoSpaceDN/>
        <w:bidi w:val="0"/>
        <w:adjustRightInd/>
        <w:snapToGrid/>
        <w:spacing w:line="540" w:lineRule="exact"/>
        <w:ind w:right="0"/>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color w:val="auto"/>
          <w:sz w:val="32"/>
        </w:rPr>
        <mc:AlternateContent>
          <mc:Choice Requires="wps">
            <w:drawing>
              <wp:anchor distT="0" distB="0" distL="114300" distR="114300" simplePos="0" relativeHeight="251661312" behindDoc="0" locked="0" layoutInCell="1" allowOverlap="1">
                <wp:simplePos x="0" y="0"/>
                <wp:positionH relativeFrom="column">
                  <wp:posOffset>-115570</wp:posOffset>
                </wp:positionH>
                <wp:positionV relativeFrom="paragraph">
                  <wp:posOffset>172085</wp:posOffset>
                </wp:positionV>
                <wp:extent cx="5550535" cy="635"/>
                <wp:effectExtent l="0" t="7620" r="12065" b="14605"/>
                <wp:wrapNone/>
                <wp:docPr id="11" name="直接连接符 11"/>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9.1pt;margin-top:13.55pt;height:0.05pt;width:437.05pt;z-index:251661312;mso-width-relative:page;mso-height-relative:page;" filled="f" stroked="t" coordsize="21600,21600" o:gfxdata="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0E/0LZAAAACQEAAA8AAAAAAAAAAQAgAAAAIgAAAGRycy9kb3ducmV2LnhtbFBLAQIU&#10;ABQAAAAIAIdO4kBXXdbg8gEAAOsDAAAOAAAAAAAAAAEAIAAAACgBAABkcnMvZTJvRG9jLnhtbFBL&#10;BQYAAAAABgAGAFkBAACMBQAAAAA=&#10;">
                <v:fill on="f" focussize="0,0"/>
                <v:stroke weight="1.25pt" color="#000000" joinstyle="round"/>
                <v:imagedata o:title=""/>
                <o:lock v:ext="edit" aspectratio="f"/>
              </v:line>
            </w:pict>
          </mc:Fallback>
        </mc:AlternateContent>
      </w:r>
    </w:p>
    <w:p w14:paraId="2A6565C8">
      <w:pPr>
        <w:keepNext w:val="0"/>
        <w:keepLines w:val="0"/>
        <w:pageBreakBefore w:val="0"/>
        <w:widowControl/>
        <w:kinsoku/>
        <w:wordWrap/>
        <w:overflowPunct/>
        <w:topLinePunct/>
        <w:autoSpaceDE w:val="0"/>
        <w:autoSpaceDN/>
        <w:bidi w:val="0"/>
        <w:adjustRightInd/>
        <w:snapToGrid/>
        <w:spacing w:line="540" w:lineRule="exact"/>
        <w:ind w:right="0"/>
        <w:textAlignment w:val="auto"/>
        <w:rPr>
          <w:rFonts w:hint="default" w:ascii="Times New Roman" w:hAnsi="Times New Roman" w:cs="Times New Roman"/>
          <w:color w:val="auto"/>
        </w:rPr>
      </w:pPr>
      <w:r>
        <w:rPr>
          <w:rFonts w:hint="default" w:ascii="Times New Roman" w:hAnsi="Times New Roman" w:eastAsia="仿宋_GB2312" w:cs="Times New Roman"/>
          <w:bCs/>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i+/zkdcAAAAKAQAADwAAAAAAAAABACAAAAAiAAAAZHJzL2Rvd25yZXYueG1sUEsB&#10;AhQAFAAAAAgAh07iQMgh1g72AQAA6QMAAA4AAAAAAAAAAQAgAAAAJgEAAGRycy9lMm9Eb2MueG1s&#10;UEsFBgAAAAAGAAYAWQEAAI4FAAAAAA==&#10;">
                <v:fill on="f" focussize="0,0"/>
                <v:stroke weight="0.737007874015748pt" color="#000000" joinstyle="round" endcap="square"/>
                <v:imagedata o:title=""/>
                <o:lock v:ext="edit" aspectratio="f"/>
              </v:line>
            </w:pict>
          </mc:Fallback>
        </mc:AlternateContent>
      </w:r>
      <w:r>
        <w:rPr>
          <w:rFonts w:hint="default" w:ascii="Times New Roman" w:hAnsi="Times New Roman" w:eastAsia="仿宋_GB2312" w:cs="Times New Roman"/>
          <w:color w:val="auto"/>
          <w:sz w:val="32"/>
          <w:szCs w:val="32"/>
        </w:rPr>
        <w:t>本文书一式</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u w:val="single"/>
          <w:lang w:val="en-US" w:eastAsia="zh-CN"/>
        </w:rPr>
        <w:t>两</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份，</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u w:val="single"/>
          <w:lang w:val="en-US" w:eastAsia="zh-CN"/>
        </w:rPr>
        <w:t>一</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份送达，一份归档，</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u w:val="single"/>
          <w:lang w:val="en-US" w:eastAsia="zh-CN"/>
        </w:rPr>
        <w:t>/</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w:t>
      </w:r>
    </w:p>
    <w:sectPr>
      <w:footerReference r:id="rId3" w:type="default"/>
      <w:pgSz w:w="11906" w:h="16838"/>
      <w:pgMar w:top="1440" w:right="1066"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EF1A4">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D3A0CF">
                          <w:pPr>
                            <w:pStyle w:val="2"/>
                            <w:rPr>
                              <w:sz w:val="20"/>
                              <w:szCs w:val="28"/>
                            </w:rPr>
                          </w:pPr>
                          <w:r>
                            <w:rPr>
                              <w:sz w:val="20"/>
                              <w:szCs w:val="28"/>
                            </w:rPr>
                            <w:fldChar w:fldCharType="begin"/>
                          </w:r>
                          <w:r>
                            <w:rPr>
                              <w:sz w:val="20"/>
                              <w:szCs w:val="28"/>
                            </w:rPr>
                            <w:instrText xml:space="preserve"> PAGE  \* MERGEFORMAT </w:instrText>
                          </w:r>
                          <w:r>
                            <w:rPr>
                              <w:sz w:val="20"/>
                              <w:szCs w:val="28"/>
                            </w:rPr>
                            <w:fldChar w:fldCharType="separate"/>
                          </w:r>
                          <w:r>
                            <w:rPr>
                              <w:sz w:val="20"/>
                              <w:szCs w:val="28"/>
                            </w:rPr>
                            <w:t>1</w:t>
                          </w:r>
                          <w:r>
                            <w:rPr>
                              <w:sz w:val="20"/>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ED3A0CF">
                    <w:pPr>
                      <w:pStyle w:val="2"/>
                      <w:rPr>
                        <w:sz w:val="20"/>
                        <w:szCs w:val="28"/>
                      </w:rPr>
                    </w:pPr>
                    <w:r>
                      <w:rPr>
                        <w:sz w:val="20"/>
                        <w:szCs w:val="28"/>
                      </w:rPr>
                      <w:fldChar w:fldCharType="begin"/>
                    </w:r>
                    <w:r>
                      <w:rPr>
                        <w:sz w:val="20"/>
                        <w:szCs w:val="28"/>
                      </w:rPr>
                      <w:instrText xml:space="preserve"> PAGE  \* MERGEFORMAT </w:instrText>
                    </w:r>
                    <w:r>
                      <w:rPr>
                        <w:sz w:val="20"/>
                        <w:szCs w:val="28"/>
                      </w:rPr>
                      <w:fldChar w:fldCharType="separate"/>
                    </w:r>
                    <w:r>
                      <w:rPr>
                        <w:sz w:val="20"/>
                        <w:szCs w:val="28"/>
                      </w:rPr>
                      <w:t>1</w:t>
                    </w:r>
                    <w:r>
                      <w:rPr>
                        <w:sz w:val="20"/>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zMmJiMWU3ZjkzNDM1OGJmMDc3ZjhkNzE3Y2RlYTMifQ=="/>
  </w:docVars>
  <w:rsids>
    <w:rsidRoot w:val="00000000"/>
    <w:rsid w:val="017460A8"/>
    <w:rsid w:val="023D6483"/>
    <w:rsid w:val="02B42D0D"/>
    <w:rsid w:val="03FD05D6"/>
    <w:rsid w:val="04D648C5"/>
    <w:rsid w:val="055B203E"/>
    <w:rsid w:val="05EA06E6"/>
    <w:rsid w:val="07B10C14"/>
    <w:rsid w:val="08183C31"/>
    <w:rsid w:val="0B497FA7"/>
    <w:rsid w:val="0B664CB3"/>
    <w:rsid w:val="0BBF0174"/>
    <w:rsid w:val="0C23087C"/>
    <w:rsid w:val="0EAF4BC3"/>
    <w:rsid w:val="0F5E3A55"/>
    <w:rsid w:val="104D4694"/>
    <w:rsid w:val="10F802E9"/>
    <w:rsid w:val="11236A2D"/>
    <w:rsid w:val="113B0990"/>
    <w:rsid w:val="1227133C"/>
    <w:rsid w:val="12A13CAA"/>
    <w:rsid w:val="171B3273"/>
    <w:rsid w:val="1A725422"/>
    <w:rsid w:val="1C1C3A07"/>
    <w:rsid w:val="1D003E98"/>
    <w:rsid w:val="1D845CBD"/>
    <w:rsid w:val="1E333FF7"/>
    <w:rsid w:val="1E727048"/>
    <w:rsid w:val="1EB616C6"/>
    <w:rsid w:val="1EC57AEB"/>
    <w:rsid w:val="1F904D1B"/>
    <w:rsid w:val="1F90634B"/>
    <w:rsid w:val="204D1B46"/>
    <w:rsid w:val="21EA3909"/>
    <w:rsid w:val="21FC7CC7"/>
    <w:rsid w:val="232474D6"/>
    <w:rsid w:val="23F0344D"/>
    <w:rsid w:val="249D12EE"/>
    <w:rsid w:val="24EF076D"/>
    <w:rsid w:val="256B13EC"/>
    <w:rsid w:val="27826579"/>
    <w:rsid w:val="27FE6ACA"/>
    <w:rsid w:val="2AAF1D7B"/>
    <w:rsid w:val="2B65697B"/>
    <w:rsid w:val="2C4402A1"/>
    <w:rsid w:val="2C673F8F"/>
    <w:rsid w:val="2CE946A9"/>
    <w:rsid w:val="2D285E15"/>
    <w:rsid w:val="2D3C2F81"/>
    <w:rsid w:val="2E702EFB"/>
    <w:rsid w:val="2FBD39DA"/>
    <w:rsid w:val="30080FDB"/>
    <w:rsid w:val="305639C0"/>
    <w:rsid w:val="3364747B"/>
    <w:rsid w:val="34951FE2"/>
    <w:rsid w:val="36C36D2D"/>
    <w:rsid w:val="36CE17DB"/>
    <w:rsid w:val="375F68D7"/>
    <w:rsid w:val="38A12726"/>
    <w:rsid w:val="3B43548F"/>
    <w:rsid w:val="3C3C2D43"/>
    <w:rsid w:val="3C8A1D00"/>
    <w:rsid w:val="3D716A1C"/>
    <w:rsid w:val="3F7F525C"/>
    <w:rsid w:val="3FFF2196"/>
    <w:rsid w:val="40414F3F"/>
    <w:rsid w:val="407778AF"/>
    <w:rsid w:val="409C46F8"/>
    <w:rsid w:val="40DD0D19"/>
    <w:rsid w:val="40F02B7B"/>
    <w:rsid w:val="41967399"/>
    <w:rsid w:val="41EC520B"/>
    <w:rsid w:val="42D068DB"/>
    <w:rsid w:val="449B0822"/>
    <w:rsid w:val="44AB0764"/>
    <w:rsid w:val="44BC135C"/>
    <w:rsid w:val="456A0FC3"/>
    <w:rsid w:val="45A2455E"/>
    <w:rsid w:val="4662784A"/>
    <w:rsid w:val="477F7FB7"/>
    <w:rsid w:val="48EC3297"/>
    <w:rsid w:val="490948F4"/>
    <w:rsid w:val="49A07007"/>
    <w:rsid w:val="4A3B22F8"/>
    <w:rsid w:val="4AB93EC2"/>
    <w:rsid w:val="4AD2389A"/>
    <w:rsid w:val="4B700C5B"/>
    <w:rsid w:val="4CF653E6"/>
    <w:rsid w:val="4E4C4DC1"/>
    <w:rsid w:val="4EC62F75"/>
    <w:rsid w:val="4F0B3174"/>
    <w:rsid w:val="4F2204BE"/>
    <w:rsid w:val="51A879D2"/>
    <w:rsid w:val="52485166"/>
    <w:rsid w:val="527222A6"/>
    <w:rsid w:val="52E57838"/>
    <w:rsid w:val="53064C4D"/>
    <w:rsid w:val="53394028"/>
    <w:rsid w:val="533A4795"/>
    <w:rsid w:val="53C03E02"/>
    <w:rsid w:val="54EF20D5"/>
    <w:rsid w:val="585B234B"/>
    <w:rsid w:val="5B8720F1"/>
    <w:rsid w:val="5CE84AF5"/>
    <w:rsid w:val="5D7E7207"/>
    <w:rsid w:val="5E1B2CA8"/>
    <w:rsid w:val="5FAA6541"/>
    <w:rsid w:val="5FB651A8"/>
    <w:rsid w:val="5FC34763"/>
    <w:rsid w:val="5FD63032"/>
    <w:rsid w:val="604F4E8B"/>
    <w:rsid w:val="60C45A87"/>
    <w:rsid w:val="6101272C"/>
    <w:rsid w:val="61FD7A5D"/>
    <w:rsid w:val="62794DDE"/>
    <w:rsid w:val="62AD0518"/>
    <w:rsid w:val="64790728"/>
    <w:rsid w:val="64950D3E"/>
    <w:rsid w:val="65C25C28"/>
    <w:rsid w:val="662817F5"/>
    <w:rsid w:val="673D7E81"/>
    <w:rsid w:val="67566BFB"/>
    <w:rsid w:val="694F3806"/>
    <w:rsid w:val="6A745C1A"/>
    <w:rsid w:val="6B7B2BC6"/>
    <w:rsid w:val="6DD8201C"/>
    <w:rsid w:val="6E6D05EA"/>
    <w:rsid w:val="6FEA072C"/>
    <w:rsid w:val="70046BA3"/>
    <w:rsid w:val="709A5334"/>
    <w:rsid w:val="71955010"/>
    <w:rsid w:val="71C75C56"/>
    <w:rsid w:val="71D2169B"/>
    <w:rsid w:val="71D376CA"/>
    <w:rsid w:val="73DE5EB2"/>
    <w:rsid w:val="74070361"/>
    <w:rsid w:val="748C0DC9"/>
    <w:rsid w:val="74FC6F38"/>
    <w:rsid w:val="75E37B6F"/>
    <w:rsid w:val="771F6F0D"/>
    <w:rsid w:val="784D3606"/>
    <w:rsid w:val="78871C41"/>
    <w:rsid w:val="788F00C3"/>
    <w:rsid w:val="791F4516"/>
    <w:rsid w:val="799D127D"/>
    <w:rsid w:val="79EB757B"/>
    <w:rsid w:val="7A79130D"/>
    <w:rsid w:val="7B29035B"/>
    <w:rsid w:val="7BAD0F8C"/>
    <w:rsid w:val="7D21078B"/>
    <w:rsid w:val="7DFF368C"/>
    <w:rsid w:val="7F5259A6"/>
    <w:rsid w:val="7F5879FD"/>
    <w:rsid w:val="7F7DD48D"/>
    <w:rsid w:val="7FD64829"/>
    <w:rsid w:val="93AB31EB"/>
    <w:rsid w:val="94575F24"/>
    <w:rsid w:val="AFF77E1F"/>
    <w:rsid w:val="CBF74DB7"/>
    <w:rsid w:val="DEBDB96B"/>
    <w:rsid w:val="DEDD7B88"/>
    <w:rsid w:val="DF7F6DA9"/>
    <w:rsid w:val="F54E845D"/>
    <w:rsid w:val="F7D773D6"/>
    <w:rsid w:val="FF4BAA4B"/>
    <w:rsid w:val="FF7A9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8"/>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100" w:beforeAutospacing="1" w:after="100" w:afterAutospacing="1"/>
      <w:jc w:val="left"/>
    </w:pPr>
    <w:rPr>
      <w:kern w:val="0"/>
      <w:sz w:val="24"/>
    </w:rPr>
  </w:style>
  <w:style w:type="paragraph" w:customStyle="1" w:styleId="7">
    <w:name w:val="_Style 5"/>
    <w:basedOn w:val="1"/>
    <w:qFormat/>
    <w:uiPriority w:val="0"/>
    <w:pPr>
      <w:ind w:firstLine="200" w:firstLineChars="200"/>
    </w:pPr>
    <w:rPr>
      <w:sz w:val="24"/>
      <w:szCs w:val="22"/>
    </w:rPr>
  </w:style>
  <w:style w:type="character" w:customStyle="1" w:styleId="8">
    <w:name w:val="NormalCharacter"/>
    <w:link w:val="1"/>
    <w:semiHidden/>
    <w:qFormat/>
    <w:uiPriority w:val="0"/>
    <w:rPr>
      <w:rFonts w:ascii="Calibri" w:hAnsi="Calibri" w:eastAsia="宋体" w:cs="Times New Roman"/>
      <w:kern w:val="2"/>
      <w:sz w:val="21"/>
      <w:szCs w:val="24"/>
      <w:lang w:val="en-US" w:eastAsia="zh-CN" w:bidi="ar-SA"/>
    </w:rPr>
  </w:style>
  <w:style w:type="paragraph" w:customStyle="1" w:styleId="9">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7530</Words>
  <Characters>8093</Characters>
  <Lines>1</Lines>
  <Paragraphs>1</Paragraphs>
  <TotalTime>10</TotalTime>
  <ScaleCrop>false</ScaleCrop>
  <LinksUpToDate>false</LinksUpToDate>
  <CharactersWithSpaces>8219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2022-11-11T08:57:00Z</dcterms:created>
  <dc:creator>李飞今天也要加油鸭</dc:creator>
  <cp:lastModifiedBy>十四师政务网</cp:lastModifiedBy>
  <cp:lastPrinted>2025-06-05T08:39:00Z</cp:lastPrinted>
  <dcterms:modified xsi:type="dcterms:W3CDTF">2025-06-05T10:57:00Z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CAAF87EB91F94C81AA21F543169BF153_13</vt:lpwstr>
  </property>
  <property fmtid="{D5CDD505-2E9C-101B-9397-08002B2CF9AE}" pid="4" name="KSOTemplateDocerSaveRecord">
    <vt:lpwstr>eyJoZGlkIjoiZGY1N2JjMTMzZjk3NDRlMzdhMGUxNmJiNjkwZGFmMTkiLCJ1c2VySWQiOiIxNjU2NTU0MjE4In0=</vt:lpwstr>
  </property>
</Properties>
</file>