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8F813">
      <w:pPr>
        <w:tabs>
          <w:tab w:val="left" w:pos="6388"/>
        </w:tabs>
        <w:bidi w:val="0"/>
        <w:jc w:val="left"/>
        <w:rPr>
          <w:rFonts w:hint="eastAsia"/>
          <w:lang w:val="en-US" w:eastAsia="zh-CN"/>
        </w:rPr>
      </w:pPr>
    </w:p>
    <w:p w14:paraId="47CBE66C">
      <w:pPr>
        <w:keepNext w:val="0"/>
        <w:keepLines w:val="0"/>
        <w:pageBreakBefore w:val="0"/>
        <w:numPr>
          <w:ilvl w:val="0"/>
          <w:numId w:val="1"/>
        </w:numPr>
        <w:kinsoku/>
        <w:wordWrap/>
        <w:overflowPunct/>
        <w:topLinePunct w:val="0"/>
        <w:bidi w:val="0"/>
        <w:spacing w:line="560" w:lineRule="exact"/>
        <w:jc w:val="center"/>
        <w:outlineLvl w:val="0"/>
        <w:rPr>
          <w:rFonts w:hint="eastAsia" w:eastAsia="方正小标宋简体" w:cs="方正小标宋简体"/>
          <w:color w:val="auto"/>
          <w:sz w:val="44"/>
          <w:szCs w:val="44"/>
          <w:highlight w:val="none"/>
        </w:rPr>
      </w:pPr>
      <w:bookmarkStart w:id="0" w:name="DYNAMIC—DWXX—tAj_dwmc"/>
      <w:r>
        <w:rPr>
          <w:rFonts w:hint="default" w:ascii="方正小标宋简体" w:hAnsi="方正小标宋简体" w:eastAsia="方正小标宋简体" w:cs="方正小标宋简体"/>
          <w:color w:val="auto"/>
          <w:sz w:val="44"/>
          <w:highlight w:val="none"/>
        </w:rPr>
        <w:t>第十四师市场监督管理局</w:t>
      </w:r>
      <w:bookmarkEnd w:id="0"/>
      <w:bookmarkStart w:id="1" w:name="_Toc76683344"/>
    </w:p>
    <w:p w14:paraId="6BAA374A">
      <w:pPr>
        <w:keepNext w:val="0"/>
        <w:keepLines w:val="0"/>
        <w:pageBreakBefore w:val="0"/>
        <w:numPr>
          <w:ilvl w:val="0"/>
          <w:numId w:val="1"/>
        </w:numPr>
        <w:kinsoku/>
        <w:wordWrap/>
        <w:overflowPunct/>
        <w:topLinePunct w:val="0"/>
        <w:bidi w:val="0"/>
        <w:spacing w:line="560" w:lineRule="exact"/>
        <w:jc w:val="center"/>
        <w:outlineLvl w:val="0"/>
        <w:rPr>
          <w:rFonts w:hint="eastAsia" w:eastAsia="方正小标宋简体" w:cs="方正小标宋简体"/>
          <w:color w:val="auto"/>
          <w:sz w:val="44"/>
          <w:szCs w:val="44"/>
          <w:highlight w:val="none"/>
        </w:rPr>
      </w:pPr>
      <w:r>
        <w:rPr>
          <w:rFonts w:hint="eastAsia" w:hAnsi="方正小标宋简体" w:eastAsia="方正小标宋简体" w:cs="方正小标宋简体"/>
          <w:color w:val="auto"/>
          <w:sz w:val="44"/>
          <w:szCs w:val="44"/>
          <w:highlight w:val="none"/>
          <w:lang w:val="en-US"/>
        </w:rPr>
        <w:t>行政处罚</w:t>
      </w:r>
      <w:r>
        <w:rPr>
          <w:rFonts w:hint="eastAsia" w:hAnsi="方正小标宋简体" w:eastAsia="方正小标宋简体" w:cs="方正小标宋简体"/>
          <w:color w:val="auto"/>
          <w:sz w:val="44"/>
          <w:szCs w:val="44"/>
          <w:highlight w:val="none"/>
          <w:lang w:val="en-US" w:eastAsia="zh-Hans"/>
        </w:rPr>
        <w:t>决定</w:t>
      </w:r>
      <w:r>
        <w:rPr>
          <w:rFonts w:hint="eastAsia" w:hAnsi="方正小标宋简体" w:eastAsia="方正小标宋简体" w:cs="方正小标宋简体"/>
          <w:color w:val="auto"/>
          <w:sz w:val="44"/>
          <w:szCs w:val="44"/>
          <w:highlight w:val="none"/>
          <w:lang w:val="en-US"/>
        </w:rPr>
        <w:t>书</w:t>
      </w:r>
      <w:bookmarkEnd w:id="1"/>
    </w:p>
    <w:p w14:paraId="725DC84D">
      <w:pPr>
        <w:keepNext w:val="0"/>
        <w:keepLines w:val="0"/>
        <w:pageBreakBefore w:val="0"/>
        <w:widowControl/>
        <w:kinsoku/>
        <w:wordWrap/>
        <w:overflowPunct/>
        <w:topLinePunct w:val="0"/>
        <w:bidi w:val="0"/>
        <w:snapToGrid w:val="0"/>
        <w:spacing w:line="560" w:lineRule="exact"/>
        <w:ind w:right="55"/>
        <w:jc w:val="center"/>
        <w:outlineLvl w:val="1"/>
        <w:rPr>
          <w:rFonts w:hint="eastAsia" w:ascii="Times New Roman" w:hAnsi="仿宋_GB2312" w:eastAsia="仿宋_GB2312" w:cs="仿宋_GB2312"/>
          <w:bCs/>
          <w:color w:val="auto"/>
          <w:sz w:val="32"/>
          <w:szCs w:val="32"/>
          <w:highlight w:val="none"/>
        </w:rPr>
      </w:pPr>
      <w:bookmarkStart w:id="2" w:name="tAj_wh"/>
      <w:r>
        <w:rPr>
          <w:rFonts w:hint="eastAsia" w:ascii="Times New Roman" w:hAnsi="Times New Roman" w:eastAsia="仿宋_GB2312" w:cs="Mongolian Baiti"/>
          <w:color w:val="auto"/>
          <w:sz w:val="32"/>
          <w:highlight w:val="none"/>
          <w:lang w:val="en-US" w:eastAsia="zh-CN"/>
        </w:rPr>
        <w:t>第</w:t>
      </w:r>
      <w:r>
        <w:rPr>
          <w:rFonts w:hint="eastAsia" w:ascii="Times New Roman" w:hAnsi="Times New Roman" w:eastAsia="仿宋_GB2312" w:cs="Mongolian Baiti"/>
          <w:color w:val="auto"/>
          <w:sz w:val="32"/>
          <w:highlight w:val="none"/>
        </w:rPr>
        <w:t>十四师市监处罚〔202</w:t>
      </w:r>
      <w:r>
        <w:rPr>
          <w:rFonts w:hint="eastAsia" w:ascii="Times New Roman" w:hAnsi="Times New Roman" w:eastAsia="仿宋_GB2312" w:cs="Mongolian Baiti"/>
          <w:color w:val="auto"/>
          <w:sz w:val="32"/>
          <w:highlight w:val="none"/>
          <w:lang w:val="en-US" w:eastAsia="zh-CN"/>
        </w:rPr>
        <w:t>5</w:t>
      </w:r>
      <w:r>
        <w:rPr>
          <w:rFonts w:hint="eastAsia" w:ascii="Times New Roman" w:hAnsi="Times New Roman" w:eastAsia="仿宋_GB2312" w:cs="Mongolian Baiti"/>
          <w:color w:val="auto"/>
          <w:sz w:val="32"/>
          <w:highlight w:val="none"/>
        </w:rPr>
        <w:t>〕</w:t>
      </w:r>
      <w:r>
        <w:rPr>
          <w:rFonts w:hint="eastAsia" w:ascii="Times New Roman" w:hAnsi="Times New Roman" w:eastAsia="仿宋_GB2312" w:cs="Mongolian Baiti"/>
          <w:color w:val="auto"/>
          <w:sz w:val="32"/>
          <w:highlight w:val="none"/>
          <w:u w:val="single"/>
          <w:lang w:val="en-US" w:eastAsia="zh-CN"/>
        </w:rPr>
        <w:t xml:space="preserve"> 13 </w:t>
      </w:r>
      <w:r>
        <w:rPr>
          <w:rFonts w:hint="eastAsia" w:ascii="Times New Roman" w:hAnsi="Times New Roman" w:eastAsia="仿宋_GB2312" w:cs="Mongolian Baiti"/>
          <w:color w:val="auto"/>
          <w:sz w:val="32"/>
          <w:highlight w:val="none"/>
        </w:rPr>
        <w:t>号</w:t>
      </w:r>
      <w:bookmarkEnd w:id="2"/>
    </w:p>
    <w:p w14:paraId="250FCBC3">
      <w:pPr>
        <w:keepNext w:val="0"/>
        <w:keepLines w:val="0"/>
        <w:pageBreakBefore w:val="0"/>
        <w:kinsoku/>
        <w:wordWrap/>
        <w:overflowPunct/>
        <w:topLinePunct w:val="0"/>
        <w:bidi w:val="0"/>
        <w:spacing w:before="315" w:beforeLines="100" w:line="560" w:lineRule="exact"/>
        <w:ind w:left="142" w:hanging="142"/>
        <w:rPr>
          <w:rFonts w:hint="eastAsia" w:ascii="仿宋_GB2312" w:hAnsi="仿宋_GB2312" w:eastAsia="仿宋_GB2312" w:cs="仿宋_GB2312"/>
          <w:b w:val="0"/>
          <w:bCs/>
          <w:color w:val="auto"/>
          <w:sz w:val="32"/>
          <w:szCs w:val="32"/>
          <w:highlight w:val="none"/>
          <w:u w:val="single"/>
          <w:lang w:val="en-US" w:eastAsia="zh-CN"/>
        </w:rPr>
      </w:pPr>
      <w:r>
        <w:rPr>
          <w:rFonts w:hint="eastAsia" w:ascii="仿宋_GB2312" w:hAnsi="仿宋_GB2312" w:eastAsia="仿宋_GB2312" w:cs="仿宋_GB2312"/>
          <w:b w:val="0"/>
          <w:bCs/>
          <w:color w:val="auto"/>
          <w:kern w:val="1"/>
          <w:sz w:val="32"/>
          <w:szCs w:val="32"/>
          <w:highlight w:val="none"/>
        </w:rPr>
        <w:t>当事人</w:t>
      </w:r>
      <w:r>
        <w:rPr>
          <w:rFonts w:hint="eastAsia" w:ascii="仿宋_GB2312" w:hAnsi="仿宋_GB2312" w:eastAsia="仿宋_GB2312" w:cs="仿宋_GB2312"/>
          <w:b w:val="0"/>
          <w:bCs/>
          <w:color w:val="auto"/>
          <w:kern w:val="1"/>
          <w:sz w:val="32"/>
          <w:szCs w:val="32"/>
          <w:highlight w:val="none"/>
          <w:lang w:eastAsia="zh-CN"/>
        </w:rPr>
        <w:t>：</w:t>
      </w:r>
      <w:r>
        <w:rPr>
          <w:rFonts w:hint="eastAsia" w:ascii="仿宋_GB2312" w:hAnsi="仿宋_GB2312" w:eastAsia="仿宋_GB2312" w:cs="仿宋_GB2312"/>
          <w:b w:val="0"/>
          <w:bCs/>
          <w:color w:val="auto"/>
          <w:kern w:val="1"/>
          <w:sz w:val="32"/>
          <w:szCs w:val="32"/>
          <w:highlight w:val="none"/>
          <w:u w:val="single"/>
          <w:lang w:val="en-US" w:eastAsia="zh-CN"/>
        </w:rPr>
        <w:t>昆玉市腾云养殖专业合作社</w:t>
      </w:r>
      <w:r>
        <w:rPr>
          <w:rFonts w:hint="eastAsia" w:ascii="仿宋_GB2312" w:hAnsi="仿宋_GB2312" w:eastAsia="仿宋_GB2312" w:cs="仿宋_GB2312"/>
          <w:b w:val="0"/>
          <w:bCs/>
          <w:color w:val="auto"/>
          <w:kern w:val="1"/>
          <w:sz w:val="32"/>
          <w:szCs w:val="32"/>
          <w:highlight w:val="none"/>
          <w:u w:val="single"/>
        </w:rPr>
        <w:t xml:space="preserve">                                            </w:t>
      </w:r>
    </w:p>
    <w:p w14:paraId="373A6B2F">
      <w:pPr>
        <w:keepNext w:val="0"/>
        <w:keepLines w:val="0"/>
        <w:pageBreakBefore w:val="0"/>
        <w:kinsoku/>
        <w:wordWrap/>
        <w:overflowPunct/>
        <w:topLinePunct w:val="0"/>
        <w:bidi w:val="0"/>
        <w:spacing w:line="560" w:lineRule="exact"/>
        <w:ind w:left="140" w:hanging="140"/>
        <w:rPr>
          <w:rFonts w:hint="eastAsia" w:ascii="仿宋_GB2312" w:hAnsi="仿宋_GB2312" w:eastAsia="仿宋_GB2312" w:cs="仿宋_GB2312"/>
          <w:b w:val="0"/>
          <w:bCs/>
          <w:color w:val="auto"/>
          <w:kern w:val="1"/>
          <w:sz w:val="32"/>
          <w:szCs w:val="32"/>
          <w:highlight w:val="none"/>
          <w:u w:val="single"/>
        </w:rPr>
      </w:pPr>
      <w:r>
        <w:rPr>
          <w:rFonts w:hint="eastAsia" w:ascii="仿宋_GB2312" w:hAnsi="仿宋_GB2312" w:eastAsia="仿宋_GB2312" w:cs="仿宋_GB2312"/>
          <w:b w:val="0"/>
          <w:bCs/>
          <w:color w:val="auto"/>
          <w:kern w:val="1"/>
          <w:sz w:val="32"/>
          <w:szCs w:val="32"/>
          <w:highlight w:val="none"/>
        </w:rPr>
        <w:t>主体资格证照名称：</w:t>
      </w:r>
      <w:bookmarkStart w:id="3" w:name="CALCULATE—DSR—tAjDsrs_cZtzgzzmc"/>
      <w:r>
        <w:rPr>
          <w:rFonts w:hint="eastAsia" w:ascii="仿宋_GB2312" w:hAnsi="仿宋_GB2312" w:eastAsia="仿宋_GB2312" w:cs="仿宋_GB2312"/>
          <w:b w:val="0"/>
          <w:color w:val="auto"/>
          <w:sz w:val="32"/>
          <w:highlight w:val="none"/>
          <w:u w:val="single"/>
        </w:rPr>
        <w:t>营业执照</w:t>
      </w:r>
      <w:bookmarkEnd w:id="3"/>
      <w:r>
        <w:rPr>
          <w:rFonts w:hint="eastAsia" w:ascii="仿宋_GB2312" w:hAnsi="仿宋_GB2312" w:eastAsia="仿宋_GB2312" w:cs="仿宋_GB2312"/>
          <w:b w:val="0"/>
          <w:bCs/>
          <w:color w:val="auto"/>
          <w:kern w:val="1"/>
          <w:sz w:val="32"/>
          <w:szCs w:val="32"/>
          <w:highlight w:val="none"/>
          <w:u w:val="single"/>
        </w:rPr>
        <w:t xml:space="preserve">                                  </w:t>
      </w:r>
    </w:p>
    <w:p w14:paraId="20A150A1">
      <w:pPr>
        <w:keepNext w:val="0"/>
        <w:keepLines w:val="0"/>
        <w:pageBreakBefore w:val="0"/>
        <w:kinsoku/>
        <w:wordWrap/>
        <w:overflowPunct/>
        <w:topLinePunct w:val="0"/>
        <w:bidi w:val="0"/>
        <w:spacing w:line="560" w:lineRule="exact"/>
        <w:ind w:left="140" w:hanging="140"/>
        <w:rPr>
          <w:rFonts w:hint="eastAsia" w:ascii="仿宋_GB2312" w:hAnsi="仿宋_GB2312" w:eastAsia="仿宋_GB2312" w:cs="仿宋_GB2312"/>
          <w:b w:val="0"/>
          <w:bCs/>
          <w:color w:val="auto"/>
          <w:kern w:val="1"/>
          <w:sz w:val="32"/>
          <w:szCs w:val="32"/>
          <w:highlight w:val="none"/>
          <w:u w:val="single"/>
          <w:lang w:val="en-US" w:eastAsia="zh-CN"/>
        </w:rPr>
      </w:pPr>
      <w:r>
        <w:rPr>
          <w:rFonts w:hint="eastAsia" w:ascii="仿宋_GB2312" w:hAnsi="仿宋_GB2312" w:eastAsia="仿宋_GB2312" w:cs="仿宋_GB2312"/>
          <w:b w:val="0"/>
          <w:bCs/>
          <w:color w:val="auto"/>
          <w:kern w:val="1"/>
          <w:sz w:val="32"/>
          <w:szCs w:val="32"/>
          <w:highlight w:val="none"/>
        </w:rPr>
        <w:t>统一社会信用代码：</w:t>
      </w:r>
      <w:r>
        <w:rPr>
          <w:rFonts w:hint="eastAsia" w:ascii="仿宋_GB2312" w:hAnsi="仿宋_GB2312" w:eastAsia="仿宋_GB2312" w:cs="仿宋_GB2312"/>
          <w:color w:val="auto"/>
          <w:spacing w:val="-6"/>
          <w:sz w:val="32"/>
          <w:szCs w:val="32"/>
          <w:highlight w:val="none"/>
          <w:u w:val="single" w:color="auto"/>
          <w:lang w:val="en-US" w:eastAsia="zh-CN"/>
        </w:rPr>
        <w:t>93659009MA78QHUG73</w:t>
      </w:r>
      <w:r>
        <w:rPr>
          <w:rFonts w:hint="eastAsia" w:ascii="仿宋_GB2312" w:hAnsi="仿宋_GB2312" w:eastAsia="仿宋_GB2312" w:cs="仿宋_GB2312"/>
          <w:b w:val="0"/>
          <w:bCs/>
          <w:color w:val="auto"/>
          <w:kern w:val="1"/>
          <w:sz w:val="32"/>
          <w:szCs w:val="32"/>
          <w:highlight w:val="none"/>
          <w:u w:val="single" w:color="auto"/>
        </w:rPr>
        <w:t xml:space="preserve">    </w:t>
      </w:r>
      <w:r>
        <w:rPr>
          <w:rFonts w:hint="eastAsia" w:ascii="仿宋_GB2312" w:hAnsi="仿宋_GB2312" w:eastAsia="仿宋_GB2312" w:cs="仿宋_GB2312"/>
          <w:b w:val="0"/>
          <w:bCs/>
          <w:color w:val="auto"/>
          <w:kern w:val="1"/>
          <w:sz w:val="32"/>
          <w:szCs w:val="32"/>
          <w:highlight w:val="none"/>
          <w:u w:val="single"/>
        </w:rPr>
        <w:t xml:space="preserve">                              </w:t>
      </w:r>
    </w:p>
    <w:p w14:paraId="47FA2B2E">
      <w:pPr>
        <w:keepNext w:val="0"/>
        <w:keepLines w:val="0"/>
        <w:pageBreakBefore w:val="0"/>
        <w:kinsoku/>
        <w:wordWrap/>
        <w:overflowPunct/>
        <w:topLinePunct w:val="0"/>
        <w:bidi w:val="0"/>
        <w:spacing w:line="560" w:lineRule="exact"/>
        <w:ind w:left="140" w:hanging="140"/>
        <w:rPr>
          <w:rFonts w:hint="eastAsia" w:ascii="仿宋_GB2312" w:hAnsi="仿宋_GB2312" w:eastAsia="仿宋_GB2312" w:cs="仿宋_GB2312"/>
          <w:b w:val="0"/>
          <w:bCs/>
          <w:color w:val="auto"/>
          <w:kern w:val="1"/>
          <w:sz w:val="32"/>
          <w:szCs w:val="32"/>
          <w:highlight w:val="none"/>
          <w:lang w:val="en-US" w:eastAsia="zh-CN"/>
        </w:rPr>
      </w:pPr>
      <w:r>
        <w:rPr>
          <w:rFonts w:hint="eastAsia" w:ascii="仿宋_GB2312" w:hAnsi="仿宋_GB2312" w:eastAsia="仿宋_GB2312" w:cs="仿宋_GB2312"/>
          <w:b w:val="0"/>
          <w:bCs/>
          <w:color w:val="auto"/>
          <w:kern w:val="1"/>
          <w:sz w:val="32"/>
          <w:szCs w:val="32"/>
          <w:highlight w:val="none"/>
          <w:lang w:val="en-US" w:eastAsia="zh-CN"/>
        </w:rPr>
        <w:t>住所</w:t>
      </w:r>
      <w:r>
        <w:rPr>
          <w:rFonts w:hint="eastAsia" w:ascii="仿宋_GB2312" w:hAnsi="仿宋_GB2312" w:eastAsia="仿宋_GB2312" w:cs="仿宋_GB2312"/>
          <w:b w:val="0"/>
          <w:bCs/>
          <w:color w:val="auto"/>
          <w:kern w:val="1"/>
          <w:sz w:val="32"/>
          <w:szCs w:val="32"/>
          <w:highlight w:val="none"/>
        </w:rPr>
        <w:t>：</w:t>
      </w:r>
      <w:r>
        <w:rPr>
          <w:rFonts w:hint="eastAsia" w:ascii="仿宋_GB2312" w:hAnsi="仿宋_GB2312" w:eastAsia="仿宋_GB2312" w:cs="仿宋_GB2312"/>
          <w:color w:val="auto"/>
          <w:spacing w:val="-6"/>
          <w:sz w:val="32"/>
          <w:szCs w:val="32"/>
          <w:highlight w:val="none"/>
          <w:u w:val="single"/>
          <w:lang w:val="en-US" w:eastAsia="zh-CN"/>
        </w:rPr>
        <w:t>新疆昆玉市皮山农场2连中心连队养殖场6号</w:t>
      </w:r>
      <w:r>
        <w:rPr>
          <w:rFonts w:hint="eastAsia" w:ascii="仿宋_GB2312" w:hAnsi="仿宋_GB2312" w:eastAsia="仿宋_GB2312" w:cs="仿宋_GB2312"/>
          <w:b w:val="0"/>
          <w:bCs/>
          <w:color w:val="auto"/>
          <w:kern w:val="1"/>
          <w:sz w:val="32"/>
          <w:szCs w:val="32"/>
          <w:highlight w:val="none"/>
          <w:u w:val="single"/>
        </w:rPr>
        <w:t xml:space="preserve">                                      </w:t>
      </w:r>
      <w:r>
        <w:rPr>
          <w:rFonts w:hint="eastAsia" w:ascii="仿宋_GB2312" w:hAnsi="仿宋_GB2312" w:eastAsia="仿宋_GB2312" w:cs="仿宋_GB2312"/>
          <w:b w:val="0"/>
          <w:bCs/>
          <w:color w:val="auto"/>
          <w:kern w:val="1"/>
          <w:sz w:val="32"/>
          <w:szCs w:val="32"/>
          <w:highlight w:val="none"/>
          <w:u w:val="single"/>
          <w:lang w:val="en-US" w:eastAsia="zh-CN"/>
        </w:rPr>
        <w:t xml:space="preserve"> </w:t>
      </w:r>
    </w:p>
    <w:p w14:paraId="3A9D7A1D">
      <w:pPr>
        <w:keepNext w:val="0"/>
        <w:keepLines w:val="0"/>
        <w:pageBreakBefore w:val="0"/>
        <w:kinsoku/>
        <w:wordWrap/>
        <w:overflowPunct/>
        <w:topLinePunct w:val="0"/>
        <w:bidi w:val="0"/>
        <w:spacing w:line="560" w:lineRule="exact"/>
        <w:rPr>
          <w:rFonts w:hint="default" w:ascii="Times New Roman" w:hAnsi="Times New Roman" w:eastAsia="仿宋_GB2312" w:cs="Mongolian Baiti"/>
          <w:b w:val="0"/>
          <w:bCs/>
          <w:color w:val="auto"/>
          <w:kern w:val="1"/>
          <w:sz w:val="32"/>
          <w:szCs w:val="32"/>
          <w:highlight w:val="none"/>
          <w:lang w:val="en-US" w:eastAsia="zh-CN"/>
        </w:rPr>
      </w:pPr>
      <w:r>
        <w:rPr>
          <w:rFonts w:hint="eastAsia" w:ascii="仿宋_GB2312" w:hAnsi="仿宋_GB2312" w:eastAsia="仿宋_GB2312" w:cs="仿宋_GB2312"/>
          <w:b w:val="0"/>
          <w:bCs/>
          <w:color w:val="auto"/>
          <w:kern w:val="1"/>
          <w:sz w:val="32"/>
          <w:szCs w:val="32"/>
          <w:highlight w:val="none"/>
          <w:lang w:val="en-US" w:eastAsia="zh-CN"/>
        </w:rPr>
        <w:t>法定代表人</w:t>
      </w:r>
      <w:r>
        <w:rPr>
          <w:rFonts w:hint="eastAsia" w:ascii="仿宋_GB2312" w:hAnsi="仿宋_GB2312" w:eastAsia="仿宋_GB2312" w:cs="仿宋_GB2312"/>
          <w:b w:val="0"/>
          <w:bCs/>
          <w:color w:val="auto"/>
          <w:kern w:val="1"/>
          <w:sz w:val="32"/>
          <w:szCs w:val="32"/>
          <w:highlight w:val="none"/>
        </w:rPr>
        <w:t>：</w:t>
      </w:r>
      <w:r>
        <w:rPr>
          <w:rFonts w:hint="eastAsia" w:ascii="仿宋_GB2312" w:hAnsi="仿宋_GB2312" w:eastAsia="仿宋_GB2312" w:cs="仿宋_GB2312"/>
          <w:color w:val="auto"/>
          <w:spacing w:val="-6"/>
          <w:sz w:val="32"/>
          <w:szCs w:val="32"/>
          <w:highlight w:val="none"/>
          <w:u w:val="single" w:color="auto"/>
          <w:lang w:val="en-US" w:eastAsia="zh-CN"/>
        </w:rPr>
        <w:t>赵志云</w:t>
      </w:r>
      <w:r>
        <w:rPr>
          <w:rFonts w:hint="eastAsia" w:ascii="仿宋_GB2312" w:hAnsi="仿宋_GB2312" w:eastAsia="仿宋_GB2312" w:cs="仿宋_GB2312"/>
          <w:b w:val="0"/>
          <w:bCs/>
          <w:color w:val="auto"/>
          <w:kern w:val="1"/>
          <w:sz w:val="32"/>
          <w:szCs w:val="32"/>
          <w:highlight w:val="none"/>
          <w:u w:val="single" w:color="auto"/>
        </w:rPr>
        <w:t xml:space="preserve">   </w:t>
      </w:r>
      <w:r>
        <w:rPr>
          <w:rFonts w:hint="eastAsia" w:ascii="仿宋_GB2312" w:hAnsi="仿宋_GB2312" w:eastAsia="仿宋_GB2312" w:cs="仿宋_GB2312"/>
          <w:b w:val="0"/>
          <w:bCs/>
          <w:color w:val="auto"/>
          <w:kern w:val="1"/>
          <w:sz w:val="32"/>
          <w:szCs w:val="32"/>
          <w:highlight w:val="none"/>
          <w:u w:val="single"/>
        </w:rPr>
        <w:t xml:space="preserve">  </w:t>
      </w:r>
      <w:r>
        <w:rPr>
          <w:rFonts w:hint="eastAsia" w:ascii="Times New Roman" w:hAnsi="Times New Roman" w:eastAsia="仿宋_GB2312" w:cs="Mongolian Baiti"/>
          <w:b w:val="0"/>
          <w:bCs/>
          <w:color w:val="auto"/>
          <w:kern w:val="1"/>
          <w:sz w:val="32"/>
          <w:szCs w:val="32"/>
          <w:highlight w:val="none"/>
          <w:u w:val="single"/>
        </w:rPr>
        <w:t xml:space="preserve">                </w:t>
      </w:r>
      <w:r>
        <w:rPr>
          <w:rFonts w:hint="eastAsia" w:ascii="Times New Roman" w:hAnsi="Times New Roman" w:eastAsia="仿宋_GB2312" w:cs="Mongolian Baiti"/>
          <w:b w:val="0"/>
          <w:bCs/>
          <w:color w:val="auto"/>
          <w:kern w:val="1"/>
          <w:sz w:val="32"/>
          <w:szCs w:val="32"/>
          <w:highlight w:val="none"/>
          <w:u w:val="single"/>
          <w:lang w:val="en-US" w:eastAsia="zh-CN"/>
        </w:rPr>
        <w:t xml:space="preserve">                     </w:t>
      </w:r>
      <w:r>
        <w:rPr>
          <w:rFonts w:hint="eastAsia" w:ascii="Times New Roman" w:hAnsi="Times New Roman" w:eastAsia="仿宋_GB2312" w:cs="Mongolian Baiti"/>
          <w:b w:val="0"/>
          <w:bCs/>
          <w:color w:val="auto"/>
          <w:kern w:val="1"/>
          <w:sz w:val="32"/>
          <w:szCs w:val="32"/>
          <w:highlight w:val="none"/>
          <w:u w:val="single"/>
        </w:rPr>
        <w:t xml:space="preserve">  </w:t>
      </w:r>
    </w:p>
    <w:p w14:paraId="1F1417B3">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2024年9月13日，我局执法人员在日常监管中发现当事人因未报送2020年度、2022年度、2023年度报告并公示，</w:t>
      </w:r>
      <w:r>
        <w:rPr>
          <w:rFonts w:hint="eastAsia" w:ascii="仿宋_GB2312" w:hAnsi="仿宋_GB2312" w:eastAsia="仿宋_GB2312" w:cs="仿宋_GB2312"/>
          <w:color w:val="auto"/>
          <w:w w:val="98"/>
          <w:sz w:val="32"/>
          <w:szCs w:val="32"/>
          <w:u w:val="none"/>
          <w:lang w:val="en-US" w:eastAsia="zh-CN" w:bidi="ar-SA"/>
        </w:rPr>
        <w:t>被我局列入经营异常名录，同时未进行注销登记</w:t>
      </w:r>
      <w:r>
        <w:rPr>
          <w:rFonts w:hint="eastAsia" w:ascii="仿宋_GB2312" w:hAnsi="仿宋_GB2312" w:eastAsia="仿宋_GB2312" w:cs="仿宋_GB2312"/>
          <w:color w:val="auto"/>
          <w:spacing w:val="0"/>
          <w:w w:val="100"/>
          <w:sz w:val="32"/>
          <w:szCs w:val="32"/>
          <w:u w:val="none" w:color="auto"/>
          <w:lang w:val="en-US" w:eastAsia="zh-CN"/>
        </w:rPr>
        <w:t>。</w:t>
      </w:r>
      <w:r>
        <w:rPr>
          <w:rFonts w:hint="eastAsia" w:ascii="仿宋_GB2312" w:hAnsi="仿宋_GB2312" w:eastAsia="仿宋_GB2312" w:cs="仿宋_GB2312"/>
          <w:color w:val="auto"/>
          <w:sz w:val="32"/>
          <w:szCs w:val="32"/>
          <w:highlight w:val="none"/>
          <w:u w:val="none"/>
          <w:lang w:val="en-US" w:eastAsia="zh-CN"/>
        </w:rPr>
        <w:t>2024年9月14日，经国家税务总局昆玉税务局协查，</w:t>
      </w:r>
      <w:r>
        <w:rPr>
          <w:rFonts w:hint="eastAsia" w:ascii="仿宋_GB2312" w:hAnsi="仿宋_GB2312" w:eastAsia="仿宋_GB2312" w:cs="仿宋_GB2312"/>
          <w:color w:val="auto"/>
          <w:sz w:val="32"/>
          <w:szCs w:val="32"/>
          <w:lang w:val="en-US" w:eastAsia="zh-CN"/>
        </w:rPr>
        <w:t>当事人申报状态为未报，纳税人状态为非正常注销，无申报记录。</w:t>
      </w:r>
      <w:r>
        <w:rPr>
          <w:rFonts w:hint="eastAsia" w:ascii="仿宋_GB2312" w:hAnsi="仿宋_GB2312" w:eastAsia="仿宋_GB2312" w:cs="仿宋_GB2312"/>
          <w:color w:val="auto"/>
          <w:sz w:val="32"/>
          <w:szCs w:val="32"/>
          <w:highlight w:val="none"/>
          <w:u w:val="none"/>
          <w:lang w:val="en-US" w:eastAsia="zh-CN"/>
        </w:rPr>
        <w:t>2024年10月16日和2024年11月21日，我局执法人员</w:t>
      </w:r>
      <w:r>
        <w:rPr>
          <w:rFonts w:hint="eastAsia" w:ascii="仿宋_GB2312" w:hAnsi="仿宋_GB2312" w:eastAsia="仿宋_GB2312" w:cs="仿宋_GB2312"/>
          <w:color w:val="auto"/>
          <w:sz w:val="32"/>
          <w:szCs w:val="32"/>
          <w:highlight w:val="none"/>
          <w:lang w:val="en-US" w:eastAsia="zh-CN"/>
        </w:rPr>
        <w:t>通过中国邮政</w:t>
      </w:r>
      <w:r>
        <w:rPr>
          <w:rFonts w:hint="eastAsia" w:ascii="仿宋_GB2312" w:hAnsi="仿宋_GB2312" w:eastAsia="仿宋_GB2312" w:cs="仿宋_GB2312"/>
          <w:color w:val="auto"/>
          <w:sz w:val="32"/>
          <w:szCs w:val="32"/>
          <w:highlight w:val="none"/>
          <w:u w:val="none"/>
          <w:lang w:val="en-US" w:eastAsia="zh-CN"/>
        </w:rPr>
        <w:t>向当事人住所邮寄提醒履行年报义务的挂号信2封，均因无人签收、无法联系到当事人被退回。2024年12月20日，我局执法人员依法对当事人住所进行现场检查，未发现当事人在注册登记住所开展经营活动，我局执法人员现场拨打当事人注册登记的联系电话，无法联系到当事人法定代表人。</w:t>
      </w:r>
    </w:p>
    <w:p w14:paraId="0695DBF1">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为进一步查明事实，我局于2024年12月23日立案调查。当事人于2020年5月成立。2021年5月，因法定代表人、理事长赵志云失联，合作社不再经营。2022年6月，当事人补报了2020年度、2021年度，财务信息均为零。2022年6月22日，当事人通过“国家企业信用信息公示系统”发布了“清算组备案”和“债权人公告”。但期满后未办理注销申请，持续处于清算状态。当事人因长期未申报纳税信息，被国家税务总局昆玉税务局列入“非正常注销”状态。</w:t>
      </w:r>
    </w:p>
    <w:p w14:paraId="76CA5B9E">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经查询国家企业信用信息公示系统</w:t>
      </w:r>
      <w:r>
        <w:rPr>
          <w:rFonts w:hint="eastAsia" w:ascii="仿宋_GB2312" w:hAnsi="仿宋_GB2312" w:eastAsia="仿宋_GB2312" w:cs="仿宋_GB2312"/>
          <w:color w:val="auto"/>
          <w:w w:val="98"/>
          <w:sz w:val="32"/>
          <w:szCs w:val="32"/>
          <w:u w:val="none"/>
          <w:lang w:val="en-US" w:eastAsia="zh-CN" w:bidi="ar-SA"/>
        </w:rPr>
        <w:t>（</w:t>
      </w:r>
      <w:r>
        <w:rPr>
          <w:rFonts w:hint="eastAsia" w:ascii="仿宋_GB2312" w:hAnsi="仿宋_GB2312" w:eastAsia="仿宋_GB2312" w:cs="仿宋_GB2312"/>
          <w:color w:val="auto"/>
          <w:sz w:val="32"/>
          <w:szCs w:val="32"/>
          <w:highlight w:val="none"/>
          <w:u w:val="none"/>
          <w:lang w:val="en-US" w:eastAsia="zh-CN"/>
        </w:rPr>
        <w:t>https://www.gsxt.gov.cn/index.html</w:t>
      </w:r>
      <w:r>
        <w:rPr>
          <w:rFonts w:hint="eastAsia" w:ascii="仿宋_GB2312" w:hAnsi="仿宋_GB2312" w:eastAsia="仿宋_GB2312" w:cs="仿宋_GB2312"/>
          <w:color w:val="auto"/>
          <w:w w:val="98"/>
          <w:sz w:val="32"/>
          <w:szCs w:val="32"/>
          <w:u w:val="none"/>
          <w:lang w:val="en-US" w:eastAsia="zh-CN" w:bidi="ar-SA"/>
        </w:rPr>
        <w:t>）</w:t>
      </w:r>
      <w:r>
        <w:rPr>
          <w:rFonts w:hint="eastAsia" w:ascii="仿宋_GB2312" w:hAnsi="仿宋_GB2312" w:eastAsia="仿宋_GB2312" w:cs="仿宋_GB2312"/>
          <w:color w:val="auto"/>
          <w:sz w:val="32"/>
          <w:szCs w:val="32"/>
          <w:highlight w:val="none"/>
          <w:u w:val="none"/>
          <w:lang w:val="en-US" w:eastAsia="zh-CN"/>
        </w:rPr>
        <w:t>，当事人于2020年5月22日注册成立，统一社会信用代码：</w:t>
      </w:r>
      <w:r>
        <w:rPr>
          <w:rFonts w:hint="eastAsia" w:ascii="仿宋_GB2312" w:hAnsi="仿宋_GB2312" w:eastAsia="仿宋_GB2312" w:cs="仿宋_GB2312"/>
          <w:color w:val="auto"/>
          <w:spacing w:val="-6"/>
          <w:sz w:val="32"/>
          <w:szCs w:val="32"/>
          <w:highlight w:val="none"/>
          <w:u w:val="none"/>
          <w:lang w:val="en-US" w:eastAsia="zh-CN"/>
        </w:rPr>
        <w:t>93659009MA78QHUG73</w:t>
      </w:r>
      <w:r>
        <w:rPr>
          <w:rFonts w:hint="eastAsia" w:ascii="仿宋_GB2312" w:hAnsi="仿宋_GB2312" w:eastAsia="仿宋_GB2312" w:cs="仿宋_GB2312"/>
          <w:color w:val="auto"/>
          <w:sz w:val="32"/>
          <w:szCs w:val="32"/>
          <w:highlight w:val="none"/>
          <w:u w:val="none"/>
          <w:lang w:val="en-US" w:eastAsia="zh-CN"/>
        </w:rPr>
        <w:t>；登记状态：存续（在营、开业、在册）；登记住所：</w:t>
      </w:r>
      <w:r>
        <w:rPr>
          <w:rFonts w:hint="eastAsia" w:ascii="仿宋_GB2312" w:hAnsi="仿宋_GB2312" w:eastAsia="仿宋_GB2312" w:cs="仿宋_GB2312"/>
          <w:color w:val="auto"/>
          <w:spacing w:val="-6"/>
          <w:sz w:val="32"/>
          <w:szCs w:val="32"/>
          <w:highlight w:val="none"/>
          <w:u w:val="none"/>
          <w:lang w:val="en-US" w:eastAsia="zh-CN"/>
        </w:rPr>
        <w:t>新疆昆玉市皮山农场2连中心连队养殖场6号</w:t>
      </w:r>
      <w:r>
        <w:rPr>
          <w:rFonts w:hint="eastAsia" w:ascii="仿宋_GB2312" w:hAnsi="仿宋_GB2312" w:eastAsia="仿宋_GB2312" w:cs="仿宋_GB2312"/>
          <w:color w:val="auto"/>
          <w:sz w:val="32"/>
          <w:szCs w:val="32"/>
          <w:highlight w:val="none"/>
          <w:u w:val="none"/>
          <w:lang w:val="en-US" w:eastAsia="zh-CN"/>
        </w:rPr>
        <w:t>；法定代表人：</w:t>
      </w:r>
      <w:r>
        <w:rPr>
          <w:rFonts w:hint="eastAsia" w:ascii="仿宋_GB2312" w:hAnsi="仿宋_GB2312" w:eastAsia="仿宋_GB2312" w:cs="仿宋_GB2312"/>
          <w:color w:val="auto"/>
          <w:spacing w:val="-6"/>
          <w:sz w:val="32"/>
          <w:szCs w:val="32"/>
          <w:highlight w:val="none"/>
          <w:u w:val="none"/>
          <w:lang w:val="en-US" w:eastAsia="zh-CN"/>
        </w:rPr>
        <w:t>赵志云。</w:t>
      </w:r>
      <w:r>
        <w:rPr>
          <w:rFonts w:hint="eastAsia" w:ascii="仿宋_GB2312" w:hAnsi="仿宋_GB2312" w:eastAsia="仿宋_GB2312" w:cs="仿宋_GB2312"/>
          <w:color w:val="auto"/>
          <w:sz w:val="32"/>
          <w:szCs w:val="32"/>
          <w:highlight w:val="none"/>
          <w:u w:val="none"/>
          <w:lang w:val="en-US" w:eastAsia="zh-CN"/>
        </w:rPr>
        <w:t xml:space="preserve">                                                                                                                                                                                                                                                                                                                                                                                                                                                                                                                                                                                                                                                                                                                                                                                                                                                                                                                                                                                                                                                                                                                                                                                                                                                                                                                                                                                                                                                                                                                                                                                                                                                                                                                                                                                                                                                                                                                                                                                                                                                                                                                                                                                             </w:t>
      </w:r>
    </w:p>
    <w:p w14:paraId="30A03460">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26" w:firstLineChars="200"/>
        <w:jc w:val="both"/>
        <w:textAlignment w:val="baseline"/>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w w:val="98"/>
          <w:sz w:val="32"/>
          <w:szCs w:val="32"/>
          <w:u w:val="none"/>
          <w:lang w:val="en-US" w:eastAsia="zh-CN" w:bidi="ar-SA"/>
        </w:rPr>
        <w:t>经查询国家企业信用信息公示系统（</w:t>
      </w:r>
      <w:r>
        <w:rPr>
          <w:rFonts w:hint="eastAsia" w:ascii="仿宋_GB2312" w:hAnsi="仿宋_GB2312" w:eastAsia="仿宋_GB2312" w:cs="仿宋_GB2312"/>
          <w:color w:val="auto"/>
          <w:sz w:val="32"/>
          <w:szCs w:val="32"/>
          <w:highlight w:val="none"/>
          <w:u w:val="none"/>
          <w:lang w:val="en-US" w:eastAsia="zh-CN"/>
        </w:rPr>
        <w:t>https://www.gsxt.gov.cn/index.html</w:t>
      </w:r>
      <w:r>
        <w:rPr>
          <w:rFonts w:hint="eastAsia" w:ascii="仿宋_GB2312" w:hAnsi="仿宋_GB2312" w:eastAsia="仿宋_GB2312" w:cs="仿宋_GB2312"/>
          <w:color w:val="auto"/>
          <w:w w:val="98"/>
          <w:sz w:val="32"/>
          <w:szCs w:val="32"/>
          <w:u w:val="none"/>
          <w:lang w:val="en-US" w:eastAsia="zh-CN" w:bidi="ar-SA"/>
        </w:rPr>
        <w:t>）</w:t>
      </w:r>
      <w:r>
        <w:rPr>
          <w:rFonts w:hint="eastAsia" w:ascii="仿宋_GB2312" w:hAnsi="仿宋_GB2312" w:eastAsia="仿宋_GB2312" w:cs="仿宋_GB2312"/>
          <w:color w:val="auto"/>
          <w:sz w:val="32"/>
          <w:szCs w:val="32"/>
          <w:highlight w:val="none"/>
          <w:u w:val="none"/>
          <w:lang w:val="en-US" w:eastAsia="zh-CN"/>
        </w:rPr>
        <w:t>经营异常名录、严重违法失信名单（黑名单）</w:t>
      </w:r>
      <w:r>
        <w:rPr>
          <w:rFonts w:hint="eastAsia" w:ascii="仿宋_GB2312" w:hAnsi="仿宋_GB2312" w:eastAsia="仿宋_GB2312" w:cs="仿宋_GB2312"/>
          <w:color w:val="auto"/>
          <w:w w:val="98"/>
          <w:sz w:val="32"/>
          <w:szCs w:val="32"/>
          <w:u w:val="none"/>
          <w:lang w:val="en-US" w:eastAsia="zh-CN" w:bidi="ar-SA"/>
        </w:rPr>
        <w:t>得知</w:t>
      </w:r>
      <w:r>
        <w:rPr>
          <w:rFonts w:hint="eastAsia" w:ascii="仿宋_GB2312" w:hAnsi="仿宋_GB2312" w:eastAsia="仿宋_GB2312" w:cs="仿宋_GB2312"/>
          <w:color w:val="auto"/>
          <w:sz w:val="32"/>
          <w:szCs w:val="32"/>
          <w:highlight w:val="none"/>
          <w:u w:val="none"/>
          <w:lang w:val="en-US" w:eastAsia="zh-CN"/>
        </w:rPr>
        <w:t>，2021年7月08日，当事人因未按照《农民专业合作社年度报告公示暂行办法》第四条第一款规定的期限报送并公示2020年年度报告，被我局列入经营异常名录；2023年7月06日，当事人因未按照《农民专业合作社年度报告公示暂行办法》第四条第一款规定的期限报送并公示2022年年度报告，被我局列入经营异常名录；2024年7月01日，当事人因未按照《农民专业合作社年度报告公示暂行办法》第四条第一款规定的期限报送并公示2023年年度报告，被我局列入经营异常名录；</w:t>
      </w:r>
      <w:r>
        <w:rPr>
          <w:rFonts w:hint="eastAsia" w:ascii="仿宋_GB2312" w:hAnsi="仿宋_GB2312" w:eastAsia="仿宋_GB2312" w:cs="仿宋_GB2312"/>
          <w:color w:val="auto"/>
          <w:spacing w:val="4"/>
          <w:sz w:val="32"/>
          <w:szCs w:val="32"/>
          <w:u w:val="none" w:color="auto"/>
          <w:lang w:val="en-US" w:eastAsia="zh-CN"/>
        </w:rPr>
        <w:t>经查询</w:t>
      </w:r>
      <w:r>
        <w:rPr>
          <w:rFonts w:hint="eastAsia" w:ascii="仿宋_GB2312" w:hAnsi="仿宋_GB2312" w:eastAsia="仿宋_GB2312" w:cs="仿宋_GB2312"/>
          <w:color w:val="auto"/>
          <w:sz w:val="32"/>
          <w:szCs w:val="32"/>
          <w:highlight w:val="none"/>
          <w:u w:val="none"/>
          <w:lang w:val="en-US" w:eastAsia="zh-CN"/>
        </w:rPr>
        <w:t>国家企业信用信息公示系统公告信息，暂无当事人市场主体歇业公告信息。</w:t>
      </w:r>
    </w:p>
    <w:p w14:paraId="52CC717B">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仿宋_GB2312" w:hAnsi="仿宋_GB2312" w:eastAsia="仿宋_GB2312" w:cs="仿宋_GB2312"/>
          <w:color w:val="auto"/>
          <w:spacing w:val="4"/>
          <w:sz w:val="32"/>
          <w:szCs w:val="32"/>
          <w:u w:val="none" w:color="auto"/>
          <w:lang w:val="en-US" w:eastAsia="zh-CN"/>
        </w:rPr>
      </w:pPr>
      <w:r>
        <w:rPr>
          <w:rFonts w:hint="eastAsia" w:ascii="仿宋_GB2312" w:hAnsi="仿宋_GB2312" w:eastAsia="仿宋_GB2312" w:cs="仿宋_GB2312"/>
          <w:color w:val="auto"/>
          <w:sz w:val="32"/>
          <w:szCs w:val="32"/>
        </w:rPr>
        <w:t>经查询兵团市场监管综合审批平台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http://10.222.25.</w:t>
      </w:r>
      <w:r>
        <w:rPr>
          <w:rFonts w:hint="eastAsia" w:ascii="仿宋_GB2312" w:hAnsi="仿宋_GB2312" w:eastAsia="仿宋_GB2312" w:cs="仿宋_GB2312"/>
          <w:color w:val="auto"/>
          <w:sz w:val="32"/>
          <w:szCs w:val="32"/>
          <w:lang w:val="en-US" w:eastAsia="zh-CN"/>
        </w:rPr>
        <w:t>31</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8085</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#/lndividuaGsxxym</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highlight w:val="none"/>
          <w:u w:val="none"/>
          <w:lang w:val="en-US" w:eastAsia="zh-CN"/>
        </w:rPr>
        <w:t>，当事人于2022年报送2021年年度报告，并补报2020年年度报告。</w:t>
      </w:r>
    </w:p>
    <w:p w14:paraId="55BD2852">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仿宋_GB2312" w:hAnsi="仿宋_GB2312" w:eastAsia="仿宋_GB2312" w:cs="仿宋_GB2312"/>
          <w:color w:val="auto"/>
          <w:spacing w:val="4"/>
          <w:sz w:val="32"/>
          <w:szCs w:val="32"/>
          <w:u w:val="none" w:color="auto"/>
          <w:lang w:val="en-US" w:eastAsia="zh-CN"/>
        </w:rPr>
      </w:pPr>
      <w:r>
        <w:rPr>
          <w:rFonts w:hint="eastAsia" w:ascii="仿宋_GB2312" w:hAnsi="仿宋_GB2312" w:eastAsia="仿宋_GB2312" w:cs="仿宋_GB2312"/>
          <w:color w:val="auto"/>
          <w:spacing w:val="4"/>
          <w:sz w:val="32"/>
          <w:szCs w:val="32"/>
          <w:u w:val="none" w:color="auto"/>
          <w:lang w:val="en-US" w:eastAsia="zh-CN"/>
        </w:rPr>
        <w:t>经查，2024年10月16日和2024年11月21日，我局执法人员向当事人登记住所邮寄专用信函2封，邮件编号分别为7000782132679、7000782132680，均因无人签收，无法联系到当事人被新疆皮山喀尔塔格孜（营业）邮政退回。</w:t>
      </w:r>
    </w:p>
    <w:p w14:paraId="66A04596">
      <w:pPr>
        <w:keepNext w:val="0"/>
        <w:keepLines w:val="0"/>
        <w:pageBreakBefore w:val="0"/>
        <w:widowControl w:val="0"/>
        <w:kinsoku/>
        <w:wordWrap/>
        <w:topLinePunct/>
        <w:autoSpaceDE/>
        <w:autoSpaceDN/>
        <w:bidi w:val="0"/>
        <w:spacing w:line="560" w:lineRule="exact"/>
        <w:ind w:firstLine="656" w:firstLineChars="200"/>
        <w:jc w:val="both"/>
        <w:rPr>
          <w:rFonts w:hint="eastAsia" w:ascii="仿宋_GB2312" w:hAnsi="仿宋_GB2312" w:eastAsia="仿宋_GB2312" w:cs="仿宋_GB2312"/>
          <w:color w:val="auto"/>
          <w:spacing w:val="4"/>
          <w:sz w:val="32"/>
          <w:szCs w:val="32"/>
        </w:rPr>
      </w:pPr>
      <w:r>
        <w:rPr>
          <w:rFonts w:hint="eastAsia" w:ascii="仿宋_GB2312" w:hAnsi="仿宋_GB2312" w:eastAsia="仿宋_GB2312" w:cs="仿宋_GB2312"/>
          <w:color w:val="auto"/>
          <w:spacing w:val="4"/>
          <w:sz w:val="32"/>
          <w:szCs w:val="32"/>
          <w:u w:val="none" w:color="auto"/>
          <w:lang w:val="en-US" w:eastAsia="zh-CN"/>
        </w:rPr>
        <w:t>经查，2024年9月9日，我局依法向国家税务总局昆玉税务局发送《关于协助调查的函》</w:t>
      </w:r>
      <w:r>
        <w:rPr>
          <w:rFonts w:hint="eastAsia" w:ascii="仿宋_GB2312" w:hAnsi="仿宋_GB2312" w:eastAsia="仿宋_GB2312" w:cs="仿宋_GB2312"/>
          <w:color w:val="auto"/>
          <w:spacing w:val="-6"/>
          <w:sz w:val="32"/>
          <w:szCs w:val="32"/>
          <w:highlight w:val="none"/>
          <w:u w:val="none"/>
          <w:lang w:val="en-US" w:eastAsia="zh-CN"/>
        </w:rPr>
        <w:t>，2024年9月14日，我局收到</w:t>
      </w:r>
      <w:r>
        <w:rPr>
          <w:rFonts w:hint="eastAsia" w:ascii="仿宋_GB2312" w:hAnsi="仿宋_GB2312" w:eastAsia="仿宋_GB2312" w:cs="仿宋_GB2312"/>
          <w:color w:val="auto"/>
          <w:spacing w:val="4"/>
          <w:sz w:val="32"/>
          <w:szCs w:val="32"/>
          <w:u w:val="none" w:color="auto"/>
          <w:lang w:val="en-US" w:eastAsia="zh-CN"/>
        </w:rPr>
        <w:t>国家税务总局昆玉税务局《&lt;关于协助调查的函&gt;的复函》，当事人申报状态为未报，</w:t>
      </w:r>
      <w:r>
        <w:rPr>
          <w:rFonts w:hint="eastAsia" w:ascii="仿宋_GB2312" w:hAnsi="仿宋_GB2312" w:eastAsia="仿宋_GB2312" w:cs="仿宋_GB2312"/>
          <w:color w:val="auto"/>
          <w:spacing w:val="4"/>
          <w:sz w:val="32"/>
          <w:szCs w:val="32"/>
          <w:lang w:val="en-US" w:eastAsia="zh-CN"/>
        </w:rPr>
        <w:t>核查情况为</w:t>
      </w:r>
      <w:r>
        <w:rPr>
          <w:rFonts w:hint="eastAsia" w:ascii="仿宋_GB2312" w:hAnsi="仿宋_GB2312" w:eastAsia="仿宋_GB2312" w:cs="仿宋_GB2312"/>
          <w:color w:val="auto"/>
          <w:sz w:val="32"/>
          <w:szCs w:val="32"/>
          <w:lang w:val="en-US" w:eastAsia="zh-CN"/>
        </w:rPr>
        <w:t>纳税人状态为非正常注销</w:t>
      </w:r>
      <w:r>
        <w:rPr>
          <w:rFonts w:hint="eastAsia" w:ascii="仿宋_GB2312" w:hAnsi="仿宋_GB2312" w:eastAsia="仿宋_GB2312" w:cs="仿宋_GB2312"/>
          <w:color w:val="auto"/>
          <w:spacing w:val="4"/>
          <w:sz w:val="32"/>
          <w:szCs w:val="32"/>
        </w:rPr>
        <w:t>，</w:t>
      </w:r>
      <w:r>
        <w:rPr>
          <w:rFonts w:hint="eastAsia" w:ascii="仿宋_GB2312" w:hAnsi="仿宋_GB2312" w:eastAsia="仿宋_GB2312" w:cs="仿宋_GB2312"/>
          <w:color w:val="auto"/>
          <w:spacing w:val="4"/>
          <w:sz w:val="32"/>
          <w:szCs w:val="32"/>
          <w:lang w:val="en-US" w:eastAsia="zh-CN"/>
        </w:rPr>
        <w:t>无</w:t>
      </w:r>
      <w:r>
        <w:rPr>
          <w:rFonts w:hint="eastAsia" w:ascii="仿宋_GB2312" w:hAnsi="仿宋_GB2312" w:eastAsia="仿宋_GB2312" w:cs="仿宋_GB2312"/>
          <w:color w:val="auto"/>
          <w:spacing w:val="4"/>
          <w:sz w:val="32"/>
          <w:szCs w:val="32"/>
        </w:rPr>
        <w:t>申报记录。</w:t>
      </w:r>
    </w:p>
    <w:p w14:paraId="0C8A6E9F">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仿宋_GB2312" w:hAnsi="仿宋_GB2312" w:eastAsia="仿宋_GB2312" w:cs="仿宋_GB2312"/>
          <w:color w:val="auto"/>
          <w:spacing w:val="-6"/>
          <w:sz w:val="32"/>
          <w:szCs w:val="32"/>
          <w:highlight w:val="none"/>
          <w:u w:val="none"/>
          <w:lang w:val="en-US" w:eastAsia="zh-CN"/>
        </w:rPr>
      </w:pPr>
      <w:r>
        <w:rPr>
          <w:rFonts w:hint="eastAsia" w:ascii="仿宋_GB2312" w:hAnsi="仿宋_GB2312" w:eastAsia="仿宋_GB2312" w:cs="仿宋_GB2312"/>
          <w:color w:val="auto"/>
          <w:spacing w:val="4"/>
          <w:sz w:val="32"/>
          <w:szCs w:val="32"/>
          <w:u w:val="none" w:color="auto"/>
          <w:lang w:val="en-US" w:eastAsia="zh-CN"/>
        </w:rPr>
        <w:t>经查，2024年12月20日，我局执法人员依法对当事人注册登记住所</w:t>
      </w:r>
      <w:r>
        <w:rPr>
          <w:rFonts w:hint="eastAsia" w:ascii="仿宋_GB2312" w:hAnsi="仿宋_GB2312" w:eastAsia="仿宋_GB2312" w:cs="仿宋_GB2312"/>
          <w:color w:val="auto"/>
          <w:spacing w:val="-6"/>
          <w:sz w:val="32"/>
          <w:szCs w:val="32"/>
          <w:highlight w:val="none"/>
          <w:u w:val="none"/>
          <w:lang w:val="en-US" w:eastAsia="zh-CN"/>
        </w:rPr>
        <w:t>新疆昆玉市皮山农场2连中心连队养殖场6号</w:t>
      </w:r>
      <w:r>
        <w:rPr>
          <w:rFonts w:hint="eastAsia" w:ascii="仿宋_GB2312" w:hAnsi="仿宋_GB2312" w:eastAsia="仿宋_GB2312" w:cs="仿宋_GB2312"/>
          <w:color w:val="auto"/>
          <w:spacing w:val="4"/>
          <w:sz w:val="32"/>
          <w:szCs w:val="32"/>
          <w:u w:val="none" w:color="auto"/>
          <w:lang w:val="en-US" w:eastAsia="zh-CN"/>
        </w:rPr>
        <w:t>进行核查走访，经皮山农场2连会计</w:t>
      </w:r>
      <w:r>
        <w:rPr>
          <w:rFonts w:hint="eastAsia" w:ascii="仿宋_GB2312" w:hAnsi="仿宋_GB2312" w:eastAsia="仿宋_GB2312" w:cs="仿宋_GB2312"/>
          <w:color w:val="auto"/>
          <w:spacing w:val="-6"/>
          <w:sz w:val="32"/>
          <w:szCs w:val="32"/>
          <w:highlight w:val="none"/>
          <w:u w:val="none"/>
          <w:lang w:val="en-US" w:eastAsia="zh-CN"/>
        </w:rPr>
        <w:t>阿***·阿***</w:t>
      </w:r>
      <w:r>
        <w:rPr>
          <w:rFonts w:hint="eastAsia" w:ascii="仿宋_GB2312" w:hAnsi="仿宋_GB2312" w:eastAsia="仿宋_GB2312" w:cs="仿宋_GB2312"/>
          <w:color w:val="auto"/>
          <w:sz w:val="32"/>
          <w:szCs w:val="32"/>
          <w:highlight w:val="none"/>
          <w:u w:val="none"/>
          <w:lang w:val="en-US" w:eastAsia="zh-CN"/>
        </w:rPr>
        <w:t>（653*************28）现场核实</w:t>
      </w:r>
      <w:r>
        <w:rPr>
          <w:rFonts w:hint="eastAsia" w:ascii="仿宋_GB2312" w:hAnsi="仿宋_GB2312" w:eastAsia="仿宋_GB2312" w:cs="仿宋_GB2312"/>
          <w:color w:val="auto"/>
          <w:spacing w:val="4"/>
          <w:sz w:val="32"/>
          <w:szCs w:val="32"/>
          <w:u w:val="none" w:color="auto"/>
          <w:lang w:val="en-US" w:eastAsia="zh-CN"/>
        </w:rPr>
        <w:t>，该住所未发现悬挂有</w:t>
      </w:r>
      <w:r>
        <w:rPr>
          <w:rFonts w:hint="eastAsia" w:ascii="仿宋_GB2312" w:hAnsi="仿宋_GB2312" w:eastAsia="仿宋_GB2312" w:cs="仿宋_GB2312"/>
          <w:color w:val="auto"/>
          <w:spacing w:val="-6"/>
          <w:sz w:val="32"/>
          <w:szCs w:val="32"/>
          <w:highlight w:val="none"/>
          <w:u w:val="none"/>
          <w:lang w:val="en-US" w:eastAsia="zh-CN"/>
        </w:rPr>
        <w:t>昆玉市腾云养殖专业合作社牌匾的农民专业合作社</w:t>
      </w:r>
      <w:r>
        <w:rPr>
          <w:rFonts w:hint="eastAsia" w:ascii="仿宋_GB2312" w:hAnsi="仿宋_GB2312" w:eastAsia="仿宋_GB2312" w:cs="仿宋_GB2312"/>
          <w:color w:val="auto"/>
          <w:sz w:val="32"/>
          <w:szCs w:val="32"/>
          <w:highlight w:val="none"/>
          <w:u w:val="none"/>
          <w:lang w:val="en-US" w:eastAsia="zh-CN"/>
        </w:rPr>
        <w:t>，</w:t>
      </w:r>
      <w:r>
        <w:rPr>
          <w:rFonts w:hint="eastAsia" w:ascii="仿宋_GB2312" w:hAnsi="仿宋_GB2312" w:eastAsia="仿宋_GB2312" w:cs="仿宋_GB2312"/>
          <w:color w:val="auto"/>
          <w:spacing w:val="4"/>
          <w:sz w:val="32"/>
          <w:szCs w:val="32"/>
          <w:u w:val="none" w:color="auto"/>
          <w:lang w:val="en-US" w:eastAsia="zh-CN"/>
        </w:rPr>
        <w:t>经</w:t>
      </w:r>
      <w:r>
        <w:rPr>
          <w:rFonts w:hint="eastAsia" w:ascii="仿宋_GB2312" w:hAnsi="仿宋_GB2312" w:eastAsia="仿宋_GB2312" w:cs="仿宋_GB2312"/>
          <w:color w:val="auto"/>
          <w:spacing w:val="-6"/>
          <w:sz w:val="32"/>
          <w:szCs w:val="32"/>
          <w:highlight w:val="none"/>
          <w:u w:val="none"/>
          <w:lang w:val="en-US" w:eastAsia="zh-CN"/>
        </w:rPr>
        <w:t>阿***·阿***</w:t>
      </w:r>
      <w:r>
        <w:rPr>
          <w:rFonts w:hint="eastAsia" w:ascii="仿宋_GB2312" w:hAnsi="仿宋_GB2312" w:eastAsia="仿宋_GB2312" w:cs="仿宋_GB2312"/>
          <w:color w:val="auto"/>
          <w:spacing w:val="4"/>
          <w:sz w:val="32"/>
          <w:szCs w:val="32"/>
          <w:u w:val="none" w:color="auto"/>
          <w:lang w:val="en-US" w:eastAsia="zh-CN"/>
        </w:rPr>
        <w:t>介绍</w:t>
      </w:r>
      <w:r>
        <w:rPr>
          <w:rFonts w:hint="eastAsia" w:ascii="仿宋_GB2312" w:hAnsi="仿宋_GB2312" w:eastAsia="仿宋_GB2312" w:cs="仿宋_GB2312"/>
          <w:color w:val="auto"/>
          <w:w w:val="98"/>
          <w:sz w:val="32"/>
          <w:szCs w:val="32"/>
          <w:u w:val="none"/>
          <w:lang w:val="en-US" w:eastAsia="zh-CN" w:bidi="ar-SA"/>
        </w:rPr>
        <w:t>，该合作社从2020年5月份成立，第一年免费提供养殖场所，第二年开始支付租金，2021年5月，法定代表人赵志云经营不善，合作社倒闭，之后未在该住所从事实际经营活动</w:t>
      </w:r>
      <w:r>
        <w:rPr>
          <w:rFonts w:hint="eastAsia" w:ascii="仿宋_GB2312" w:hAnsi="仿宋_GB2312" w:eastAsia="仿宋_GB2312" w:cs="仿宋_GB2312"/>
          <w:color w:val="auto"/>
          <w:spacing w:val="-6"/>
          <w:sz w:val="32"/>
          <w:szCs w:val="32"/>
          <w:highlight w:val="none"/>
          <w:u w:val="none"/>
          <w:lang w:val="en-US" w:eastAsia="zh-CN"/>
        </w:rPr>
        <w:t>。经调取国家企业信息公示系统</w:t>
      </w:r>
      <w:r>
        <w:rPr>
          <w:rFonts w:hint="eastAsia" w:ascii="仿宋_GB2312" w:hAnsi="仿宋_GB2312" w:eastAsia="仿宋_GB2312" w:cs="仿宋_GB2312"/>
          <w:color w:val="auto"/>
          <w:w w:val="98"/>
          <w:sz w:val="32"/>
          <w:szCs w:val="32"/>
          <w:u w:val="none"/>
          <w:lang w:val="en-US" w:eastAsia="zh-CN" w:bidi="ar-SA"/>
        </w:rPr>
        <w:t>（</w:t>
      </w:r>
      <w:r>
        <w:rPr>
          <w:rFonts w:hint="eastAsia" w:ascii="仿宋_GB2312" w:hAnsi="仿宋_GB2312" w:eastAsia="仿宋_GB2312" w:cs="仿宋_GB2312"/>
          <w:color w:val="auto"/>
          <w:sz w:val="32"/>
          <w:szCs w:val="32"/>
          <w:highlight w:val="none"/>
          <w:u w:val="none"/>
          <w:lang w:val="en-US" w:eastAsia="zh-CN"/>
        </w:rPr>
        <w:t>https://www.gsxt.gov.cn/index.html</w:t>
      </w:r>
      <w:r>
        <w:rPr>
          <w:rFonts w:hint="eastAsia" w:ascii="仿宋_GB2312" w:hAnsi="仿宋_GB2312" w:eastAsia="仿宋_GB2312" w:cs="仿宋_GB2312"/>
          <w:color w:val="auto"/>
          <w:w w:val="98"/>
          <w:sz w:val="32"/>
          <w:szCs w:val="32"/>
          <w:u w:val="none"/>
          <w:lang w:val="en-US" w:eastAsia="zh-CN" w:bidi="ar-SA"/>
        </w:rPr>
        <w:t>）</w:t>
      </w:r>
      <w:r>
        <w:rPr>
          <w:rFonts w:hint="eastAsia" w:ascii="仿宋_GB2312" w:hAnsi="仿宋_GB2312" w:eastAsia="仿宋_GB2312" w:cs="仿宋_GB2312"/>
          <w:color w:val="auto"/>
          <w:spacing w:val="4"/>
          <w:sz w:val="32"/>
          <w:szCs w:val="32"/>
          <w:u w:val="none" w:color="auto"/>
          <w:lang w:val="en-US" w:eastAsia="zh-CN"/>
        </w:rPr>
        <w:t>核对，</w:t>
      </w:r>
      <w:r>
        <w:rPr>
          <w:rFonts w:hint="eastAsia" w:ascii="仿宋_GB2312" w:hAnsi="仿宋_GB2312" w:eastAsia="仿宋_GB2312" w:cs="仿宋_GB2312"/>
          <w:color w:val="auto"/>
          <w:spacing w:val="-6"/>
          <w:sz w:val="32"/>
          <w:szCs w:val="32"/>
          <w:highlight w:val="none"/>
          <w:u w:val="none"/>
          <w:lang w:val="en-US" w:eastAsia="zh-CN"/>
        </w:rPr>
        <w:t>昆玉市腾云养殖专业合作社，统一社会信用代码：93659009MA78QHUG73，成员名册有5名成员，赵志云、杜军花、</w:t>
      </w:r>
      <w:r>
        <w:rPr>
          <w:rFonts w:hint="eastAsia" w:ascii="仿宋_GB2312" w:hAnsi="仿宋_GB2312" w:eastAsia="仿宋_GB2312" w:cs="仿宋_GB2312"/>
          <w:color w:val="auto"/>
          <w:spacing w:val="4"/>
          <w:sz w:val="32"/>
          <w:szCs w:val="32"/>
          <w:u w:val="none" w:color="auto"/>
          <w:lang w:val="en-US" w:eastAsia="zh-CN"/>
        </w:rPr>
        <w:t>刘瑞玲、杨科燕、陈连珍，</w:t>
      </w:r>
      <w:r>
        <w:rPr>
          <w:rFonts w:hint="eastAsia" w:ascii="仿宋_GB2312" w:hAnsi="仿宋_GB2312" w:eastAsia="仿宋_GB2312" w:cs="仿宋_GB2312"/>
          <w:color w:val="auto"/>
          <w:spacing w:val="-6"/>
          <w:sz w:val="32"/>
          <w:szCs w:val="32"/>
          <w:highlight w:val="none"/>
          <w:u w:val="none"/>
          <w:lang w:val="en-US" w:eastAsia="zh-CN"/>
        </w:rPr>
        <w:t>其中法定代表人赵志云已被解除</w:t>
      </w:r>
      <w:r>
        <w:rPr>
          <w:rFonts w:hint="eastAsia" w:ascii="仿宋_GB2312" w:hAnsi="仿宋_GB2312" w:eastAsia="仿宋_GB2312" w:cs="仿宋_GB2312"/>
          <w:color w:val="auto"/>
          <w:spacing w:val="4"/>
          <w:sz w:val="32"/>
          <w:szCs w:val="32"/>
          <w:u w:val="none" w:color="auto"/>
          <w:lang w:val="en-US" w:eastAsia="zh-CN"/>
        </w:rPr>
        <w:t>皮山农场连队职工身份。</w:t>
      </w:r>
      <w:r>
        <w:rPr>
          <w:rFonts w:hint="eastAsia" w:ascii="仿宋_GB2312" w:hAnsi="仿宋_GB2312" w:eastAsia="仿宋_GB2312" w:cs="仿宋_GB2312"/>
          <w:color w:val="auto"/>
          <w:spacing w:val="-6"/>
          <w:sz w:val="32"/>
          <w:szCs w:val="32"/>
          <w:highlight w:val="none"/>
          <w:u w:val="none"/>
          <w:lang w:val="en-US" w:eastAsia="zh-CN"/>
        </w:rPr>
        <w:t>我局执法人员现场拨打当事人注册登记的联系电话（</w:t>
      </w:r>
      <w:r>
        <w:rPr>
          <w:rFonts w:hint="eastAsia" w:ascii="仿宋_GB2312" w:hAnsi="仿宋_GB2312" w:eastAsia="仿宋_GB2312" w:cs="仿宋_GB2312"/>
          <w:color w:val="auto"/>
          <w:sz w:val="32"/>
          <w:szCs w:val="32"/>
          <w:highlight w:val="none"/>
          <w:u w:val="none"/>
          <w:lang w:val="en-US" w:eastAsia="zh-CN"/>
        </w:rPr>
        <w:t>188****</w:t>
      </w:r>
      <w:bookmarkStart w:id="6" w:name="_GoBack"/>
      <w:bookmarkEnd w:id="6"/>
      <w:r>
        <w:rPr>
          <w:rFonts w:hint="eastAsia" w:ascii="仿宋_GB2312" w:hAnsi="仿宋_GB2312" w:eastAsia="仿宋_GB2312" w:cs="仿宋_GB2312"/>
          <w:color w:val="auto"/>
          <w:sz w:val="32"/>
          <w:szCs w:val="32"/>
          <w:highlight w:val="none"/>
          <w:u w:val="none"/>
          <w:lang w:val="en-US" w:eastAsia="zh-CN"/>
        </w:rPr>
        <w:t>3986</w:t>
      </w:r>
      <w:r>
        <w:rPr>
          <w:rFonts w:hint="eastAsia" w:ascii="仿宋_GB2312" w:hAnsi="仿宋_GB2312" w:eastAsia="仿宋_GB2312" w:cs="仿宋_GB2312"/>
          <w:color w:val="auto"/>
          <w:spacing w:val="-6"/>
          <w:sz w:val="32"/>
          <w:szCs w:val="32"/>
          <w:highlight w:val="none"/>
          <w:u w:val="none"/>
          <w:lang w:val="en-US" w:eastAsia="zh-CN"/>
        </w:rPr>
        <w:t>），电话显示无人接听，我局无法联系到当事人法定代表人赵志云。</w:t>
      </w:r>
    </w:p>
    <w:p w14:paraId="6CCCFB31">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u w:val="none" w:color="auto"/>
          <w:lang w:val="en-US" w:eastAsia="zh-CN"/>
        </w:rPr>
        <w:t>经查，2024年12月20日，我局执法人员经走访皮山农场七连管理委员会联系到当事人成员陈连珍询问核实，该4人均是因为2020年成立农民专业合作社时有人数要求，收到</w:t>
      </w:r>
      <w:r>
        <w:rPr>
          <w:rFonts w:hint="eastAsia" w:ascii="仿宋_GB2312" w:hAnsi="仿宋_GB2312" w:eastAsia="仿宋_GB2312" w:cs="仿宋_GB2312"/>
          <w:color w:val="auto"/>
          <w:spacing w:val="-6"/>
          <w:sz w:val="32"/>
          <w:szCs w:val="32"/>
          <w:highlight w:val="none"/>
          <w:u w:val="none"/>
          <w:lang w:val="en-US" w:eastAsia="zh-CN"/>
        </w:rPr>
        <w:t>赵志云的邀请才成为合作社成员，并没有实际参与到该合作社的经营活动，和当事人法定代表人赵志云当时只是见面联系，现在没有赵志云的联系方式，也无法联系上赵志云。</w:t>
      </w:r>
      <w:r>
        <w:rPr>
          <w:rFonts w:hint="eastAsia" w:ascii="仿宋_GB2312" w:hAnsi="仿宋_GB2312" w:eastAsia="仿宋_GB2312" w:cs="仿宋_GB2312"/>
          <w:color w:val="auto"/>
          <w:spacing w:val="4"/>
          <w:sz w:val="32"/>
          <w:szCs w:val="32"/>
          <w:u w:val="none" w:color="auto"/>
          <w:lang w:val="en-US" w:eastAsia="zh-CN"/>
        </w:rPr>
        <w:t>当事人自</w:t>
      </w:r>
      <w:r>
        <w:rPr>
          <w:rFonts w:hint="eastAsia" w:ascii="仿宋_GB2312" w:hAnsi="仿宋_GB2312" w:eastAsia="仿宋_GB2312" w:cs="仿宋_GB2312"/>
          <w:color w:val="auto"/>
          <w:spacing w:val="4"/>
          <w:sz w:val="32"/>
          <w:szCs w:val="32"/>
          <w:highlight w:val="none"/>
          <w:u w:val="none" w:color="auto"/>
          <w:lang w:val="en-US" w:eastAsia="zh-CN"/>
        </w:rPr>
        <w:t>2021年5月到2024年底连续三年未开展任何形式的经营活动</w:t>
      </w:r>
      <w:r>
        <w:rPr>
          <w:rFonts w:hint="eastAsia" w:ascii="仿宋_GB2312" w:hAnsi="仿宋_GB2312" w:eastAsia="仿宋_GB2312" w:cs="仿宋_GB2312"/>
          <w:color w:val="auto"/>
          <w:sz w:val="32"/>
          <w:szCs w:val="32"/>
          <w:highlight w:val="none"/>
          <w:u w:val="none"/>
          <w:lang w:val="en-US" w:eastAsia="zh-CN"/>
        </w:rPr>
        <w:t>，我局执法人员依法</w:t>
      </w:r>
      <w:r>
        <w:rPr>
          <w:rFonts w:hint="eastAsia" w:ascii="仿宋_GB2312" w:hAnsi="仿宋_GB2312" w:eastAsia="仿宋_GB2312" w:cs="仿宋_GB2312"/>
          <w:color w:val="auto"/>
          <w:spacing w:val="4"/>
          <w:sz w:val="32"/>
          <w:szCs w:val="32"/>
          <w:highlight w:val="none"/>
          <w:u w:val="none" w:color="auto"/>
          <w:lang w:val="en-US" w:eastAsia="zh-CN"/>
        </w:rPr>
        <w:t>制作询问笔录1份，陈连珍</w:t>
      </w:r>
      <w:r>
        <w:rPr>
          <w:rFonts w:hint="eastAsia" w:ascii="仿宋_GB2312" w:hAnsi="仿宋_GB2312" w:eastAsia="仿宋_GB2312" w:cs="仿宋_GB2312"/>
          <w:color w:val="auto"/>
          <w:sz w:val="32"/>
          <w:szCs w:val="32"/>
          <w:highlight w:val="none"/>
          <w:u w:val="none"/>
          <w:lang w:val="en-US" w:eastAsia="zh-CN"/>
        </w:rPr>
        <w:t>并</w:t>
      </w:r>
      <w:r>
        <w:rPr>
          <w:rFonts w:hint="eastAsia" w:ascii="仿宋_GB2312" w:hAnsi="仿宋_GB2312" w:eastAsia="仿宋_GB2312" w:cs="仿宋_GB2312"/>
          <w:color w:val="auto"/>
          <w:spacing w:val="4"/>
          <w:sz w:val="32"/>
          <w:szCs w:val="32"/>
          <w:u w:val="none" w:color="auto"/>
          <w:lang w:val="en-US" w:eastAsia="zh-CN"/>
        </w:rPr>
        <w:t>作为被询问人</w:t>
      </w:r>
      <w:r>
        <w:rPr>
          <w:rFonts w:hint="eastAsia" w:ascii="仿宋_GB2312" w:hAnsi="仿宋_GB2312" w:eastAsia="仿宋_GB2312" w:cs="仿宋_GB2312"/>
          <w:color w:val="auto"/>
          <w:sz w:val="32"/>
          <w:szCs w:val="32"/>
          <w:highlight w:val="none"/>
          <w:u w:val="none"/>
          <w:lang w:val="en-US" w:eastAsia="zh-CN"/>
        </w:rPr>
        <w:t>签字确认</w:t>
      </w:r>
      <w:r>
        <w:rPr>
          <w:rFonts w:hint="eastAsia" w:ascii="仿宋_GB2312" w:hAnsi="仿宋_GB2312" w:eastAsia="仿宋_GB2312" w:cs="仿宋_GB2312"/>
          <w:color w:val="auto"/>
          <w:spacing w:val="4"/>
          <w:sz w:val="32"/>
          <w:szCs w:val="32"/>
          <w:highlight w:val="none"/>
          <w:u w:val="none" w:color="auto"/>
          <w:lang w:val="en-US" w:eastAsia="zh-CN"/>
        </w:rPr>
        <w:t>。</w:t>
      </w:r>
    </w:p>
    <w:p w14:paraId="2D9C6F6C">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u w:val="none" w:color="auto"/>
          <w:lang w:val="en-US" w:eastAsia="zh-CN"/>
        </w:rPr>
        <w:t>经走访第十四师皮山农场农业和林业草原中心查实，该合作社自2021年5月至今未发现其在注册地开展经营活动。</w:t>
      </w:r>
    </w:p>
    <w:p w14:paraId="2931E838">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综上，当事人</w:t>
      </w:r>
      <w:r>
        <w:rPr>
          <w:rFonts w:hint="eastAsia" w:ascii="仿宋_GB2312" w:hAnsi="仿宋_GB2312" w:eastAsia="仿宋_GB2312" w:cs="仿宋_GB2312"/>
          <w:color w:val="auto"/>
          <w:sz w:val="32"/>
          <w:szCs w:val="32"/>
          <w:highlight w:val="none"/>
          <w:u w:val="none"/>
          <w:lang w:val="en-US" w:eastAsia="zh-CN"/>
        </w:rPr>
        <w:t>三个</w:t>
      </w:r>
      <w:r>
        <w:rPr>
          <w:rFonts w:hint="eastAsia" w:ascii="仿宋_GB2312" w:hAnsi="仿宋_GB2312" w:eastAsia="仿宋_GB2312" w:cs="仿宋_GB2312"/>
          <w:color w:val="auto"/>
          <w:spacing w:val="4"/>
          <w:sz w:val="32"/>
          <w:szCs w:val="32"/>
          <w:highlight w:val="none"/>
          <w:u w:val="none" w:color="auto"/>
          <w:lang w:val="en-US" w:eastAsia="zh-CN"/>
        </w:rPr>
        <w:t>年度未按规定报送</w:t>
      </w:r>
      <w:r>
        <w:rPr>
          <w:rFonts w:hint="eastAsia" w:ascii="仿宋_GB2312" w:hAnsi="仿宋_GB2312" w:eastAsia="仿宋_GB2312" w:cs="仿宋_GB2312"/>
          <w:color w:val="auto"/>
          <w:sz w:val="32"/>
          <w:szCs w:val="32"/>
          <w:highlight w:val="none"/>
          <w:u w:val="none"/>
          <w:lang w:val="en-US" w:eastAsia="zh-CN"/>
        </w:rPr>
        <w:t>并公示年度报告被列入经营异常名录</w:t>
      </w:r>
      <w:r>
        <w:rPr>
          <w:rFonts w:hint="eastAsia" w:ascii="仿宋_GB2312" w:hAnsi="仿宋_GB2312" w:eastAsia="仿宋_GB2312" w:cs="仿宋_GB2312"/>
          <w:color w:val="auto"/>
          <w:spacing w:val="4"/>
          <w:sz w:val="32"/>
          <w:szCs w:val="32"/>
          <w:highlight w:val="none"/>
          <w:u w:val="none" w:color="auto"/>
          <w:lang w:val="en-US" w:eastAsia="zh-CN"/>
        </w:rPr>
        <w:t>，通过登记的住所无法取得联系，且连续3年7个月未开展任何形式的经营活动。</w:t>
      </w:r>
    </w:p>
    <w:p w14:paraId="50FA9E78">
      <w:pPr>
        <w:keepNext w:val="0"/>
        <w:keepLines w:val="0"/>
        <w:pageBreakBefore w:val="0"/>
        <w:widowControl/>
        <w:kinsoku/>
        <w:wordWrap/>
        <w:overflowPunct/>
        <w:topLinePunct/>
        <w:autoSpaceDE w:val="0"/>
        <w:autoSpaceDN/>
        <w:bidi w:val="0"/>
        <w:adjustRightInd/>
        <w:snapToGrid/>
        <w:spacing w:line="560" w:lineRule="exact"/>
        <w:ind w:right="0" w:firstLine="643" w:firstLineChars="200"/>
        <w:jc w:val="both"/>
        <w:textAlignment w:val="auto"/>
        <w:rPr>
          <w:rStyle w:val="5"/>
          <w:rFonts w:hint="eastAsia" w:ascii="仿宋_GB2312" w:hAnsi="仿宋_GB2312" w:eastAsia="仿宋_GB2312" w:cs="仿宋_GB2312"/>
          <w:color w:val="auto"/>
          <w:kern w:val="1"/>
          <w:sz w:val="32"/>
          <w:szCs w:val="32"/>
          <w:highlight w:val="none"/>
          <w:u w:val="none" w:color="auto"/>
          <w:lang w:val="en-US" w:eastAsia="zh-CN"/>
        </w:rPr>
      </w:pPr>
      <w:r>
        <w:rPr>
          <w:rFonts w:hint="eastAsia" w:ascii="Times New Roman" w:hAnsi="Times New Roman" w:eastAsia="仿宋_GB2312" w:cs="Times New Roman"/>
          <w:b/>
          <w:bCs/>
          <w:color w:val="auto"/>
          <w:spacing w:val="0"/>
          <w:w w:val="100"/>
          <w:sz w:val="32"/>
          <w:szCs w:val="32"/>
          <w:u w:val="none" w:color="auto"/>
          <w:lang w:val="en-US" w:eastAsia="zh-CN"/>
        </w:rPr>
        <w:t>上述事实，主要有以下证据证明：</w:t>
      </w:r>
    </w:p>
    <w:p w14:paraId="560BCC3E">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60" w:lineRule="exact"/>
        <w:ind w:right="0" w:rightChars="0" w:firstLine="640" w:firstLineChars="200"/>
        <w:jc w:val="both"/>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highlight w:val="none"/>
          <w:u w:val="none"/>
          <w:lang w:val="en-US" w:eastAsia="zh-CN"/>
        </w:rPr>
        <w:t>1.我局执法人员2024年12月20日</w:t>
      </w:r>
      <w:r>
        <w:rPr>
          <w:rFonts w:hint="eastAsia" w:ascii="仿宋_GB2312" w:hAnsi="仿宋_GB2312" w:eastAsia="仿宋_GB2312" w:cs="仿宋_GB2312"/>
          <w:bCs/>
          <w:color w:val="auto"/>
          <w:sz w:val="32"/>
          <w:szCs w:val="32"/>
          <w:lang w:val="en-US" w:eastAsia="zh-CN"/>
        </w:rPr>
        <w:t>通过兵团市场监管综合审批平台提取当事人农民专业合作社基本信息1份，证明当事人市场主体信息</w:t>
      </w:r>
      <w:r>
        <w:rPr>
          <w:rFonts w:hint="eastAsia" w:ascii="仿宋_GB2312" w:hAnsi="仿宋_GB2312" w:eastAsia="仿宋_GB2312" w:cs="仿宋_GB2312"/>
          <w:bCs/>
          <w:color w:val="auto"/>
          <w:sz w:val="32"/>
          <w:szCs w:val="32"/>
        </w:rPr>
        <w:t>；</w:t>
      </w:r>
    </w:p>
    <w:p w14:paraId="036F0146">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2.我局执法人员于2024年10月16日、2024年11月21日通过邮寄专用信函的方式与当事人联系，经向当事人登记住所两次邮寄专用信函，均无人签收分别退回，证明通过登记住所无法与当事人取得联系的事实；</w:t>
      </w:r>
    </w:p>
    <w:p w14:paraId="1333AF90">
      <w:pPr>
        <w:keepNext w:val="0"/>
        <w:keepLines w:val="0"/>
        <w:pageBreakBefore w:val="0"/>
        <w:kinsoku/>
        <w:wordWrap/>
        <w:overflowPunct w:val="0"/>
        <w:autoSpaceDE w:val="0"/>
        <w:bidi w:val="0"/>
        <w:spacing w:line="560" w:lineRule="exact"/>
        <w:ind w:left="0" w:firstLine="640" w:firstLineChars="200"/>
        <w:jc w:val="both"/>
        <w:rPr>
          <w:rFonts w:hint="eastAsia" w:ascii="仿宋_GB2312" w:hAnsi="仿宋_GB2312" w:eastAsia="仿宋_GB2312" w:cs="仿宋_GB2312"/>
          <w:color w:val="auto"/>
          <w:spacing w:val="4"/>
          <w:sz w:val="32"/>
          <w:szCs w:val="32"/>
          <w:u w:val="none" w:color="auto"/>
          <w:lang w:val="en-US" w:eastAsia="zh-CN"/>
        </w:rPr>
      </w:pPr>
      <w:r>
        <w:rPr>
          <w:rFonts w:hint="eastAsia" w:ascii="仿宋_GB2312" w:hAnsi="仿宋_GB2312" w:eastAsia="仿宋_GB2312" w:cs="仿宋_GB2312"/>
          <w:color w:val="auto"/>
          <w:sz w:val="32"/>
          <w:szCs w:val="32"/>
          <w:highlight w:val="none"/>
          <w:u w:val="none"/>
          <w:lang w:val="en-US" w:eastAsia="zh-CN"/>
        </w:rPr>
        <w:t>3.2024年9月9日，我局依法向国家</w:t>
      </w:r>
      <w:r>
        <w:rPr>
          <w:rFonts w:hint="eastAsia" w:ascii="仿宋_GB2312" w:hAnsi="仿宋_GB2312" w:eastAsia="仿宋_GB2312" w:cs="仿宋_GB2312"/>
          <w:color w:val="auto"/>
          <w:spacing w:val="4"/>
          <w:sz w:val="32"/>
          <w:szCs w:val="32"/>
          <w:u w:val="none" w:color="auto"/>
          <w:lang w:val="en-US" w:eastAsia="zh-CN"/>
        </w:rPr>
        <w:t>税务总局昆玉税务局发送《关于协助调查的函》及附件各</w:t>
      </w:r>
      <w:r>
        <w:rPr>
          <w:rFonts w:hint="eastAsia" w:ascii="仿宋_GB2312" w:hAnsi="仿宋_GB2312" w:eastAsia="仿宋_GB2312" w:cs="仿宋_GB2312"/>
          <w:color w:val="auto"/>
          <w:sz w:val="32"/>
          <w:szCs w:val="32"/>
          <w:highlight w:val="none"/>
          <w:u w:val="none"/>
          <w:lang w:val="en-US" w:eastAsia="zh-CN"/>
        </w:rPr>
        <w:t>一份，证</w:t>
      </w:r>
      <w:r>
        <w:rPr>
          <w:rFonts w:hint="eastAsia" w:ascii="仿宋_GB2312" w:hAnsi="仿宋_GB2312" w:eastAsia="仿宋_GB2312" w:cs="仿宋_GB2312"/>
          <w:color w:val="auto"/>
          <w:spacing w:val="4"/>
          <w:sz w:val="32"/>
          <w:szCs w:val="32"/>
          <w:u w:val="none" w:color="auto"/>
          <w:lang w:val="en-US" w:eastAsia="zh-CN"/>
        </w:rPr>
        <w:t>明我局依法核实当事人纳税申报情况的事实；</w:t>
      </w:r>
    </w:p>
    <w:p w14:paraId="746CA227">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60" w:lineRule="exact"/>
        <w:ind w:right="0" w:rightChars="0" w:firstLine="640" w:firstLineChars="200"/>
        <w:jc w:val="both"/>
        <w:textAlignment w:val="baseline"/>
        <w:rPr>
          <w:rFonts w:hint="eastAsia" w:ascii="仿宋_GB2312" w:hAnsi="仿宋_GB2312" w:eastAsia="仿宋_GB2312" w:cs="仿宋_GB2312"/>
          <w:color w:val="auto"/>
          <w:spacing w:val="4"/>
          <w:sz w:val="32"/>
          <w:szCs w:val="32"/>
          <w:u w:val="none" w:color="auto"/>
          <w:lang w:val="en-US" w:eastAsia="zh-CN"/>
        </w:rPr>
      </w:pPr>
      <w:r>
        <w:rPr>
          <w:rFonts w:hint="eastAsia" w:ascii="仿宋_GB2312" w:hAnsi="仿宋_GB2312" w:eastAsia="仿宋_GB2312" w:cs="仿宋_GB2312"/>
          <w:color w:val="auto"/>
          <w:spacing w:val="0"/>
          <w:sz w:val="32"/>
          <w:szCs w:val="32"/>
          <w:u w:val="none"/>
          <w:lang w:val="en-US" w:eastAsia="zh-CN"/>
        </w:rPr>
        <w:t>4.2024年9月14日，我局收到</w:t>
      </w:r>
      <w:r>
        <w:rPr>
          <w:rFonts w:hint="eastAsia" w:ascii="仿宋_GB2312" w:hAnsi="仿宋_GB2312" w:eastAsia="仿宋_GB2312" w:cs="仿宋_GB2312"/>
          <w:color w:val="auto"/>
          <w:sz w:val="32"/>
          <w:szCs w:val="32"/>
          <w:highlight w:val="none"/>
          <w:u w:val="none"/>
          <w:lang w:val="en-US" w:eastAsia="zh-CN"/>
        </w:rPr>
        <w:t>国家</w:t>
      </w:r>
      <w:r>
        <w:rPr>
          <w:rFonts w:hint="eastAsia" w:ascii="仿宋_GB2312" w:hAnsi="仿宋_GB2312" w:eastAsia="仿宋_GB2312" w:cs="仿宋_GB2312"/>
          <w:color w:val="auto"/>
          <w:spacing w:val="4"/>
          <w:sz w:val="32"/>
          <w:szCs w:val="32"/>
          <w:u w:val="none" w:color="auto"/>
          <w:lang w:val="en-US" w:eastAsia="zh-CN"/>
        </w:rPr>
        <w:t>税务总局昆玉税务局出具的《&lt;关于协助调查的函&gt;的复函》及附件各一</w:t>
      </w:r>
      <w:r>
        <w:rPr>
          <w:rFonts w:hint="eastAsia" w:ascii="仿宋_GB2312" w:hAnsi="仿宋_GB2312" w:eastAsia="仿宋_GB2312" w:cs="仿宋_GB2312"/>
          <w:color w:val="auto"/>
          <w:spacing w:val="0"/>
          <w:sz w:val="32"/>
          <w:szCs w:val="32"/>
          <w:u w:val="none"/>
          <w:lang w:val="en-US" w:eastAsia="zh-CN"/>
        </w:rPr>
        <w:t>份，证明当事人</w:t>
      </w:r>
      <w:r>
        <w:rPr>
          <w:rFonts w:hint="eastAsia" w:ascii="仿宋_GB2312" w:hAnsi="仿宋_GB2312" w:eastAsia="仿宋_GB2312" w:cs="仿宋_GB2312"/>
          <w:color w:val="auto"/>
          <w:spacing w:val="4"/>
          <w:sz w:val="32"/>
          <w:szCs w:val="32"/>
          <w:u w:val="none" w:color="auto"/>
          <w:lang w:val="en-US" w:eastAsia="zh-CN"/>
        </w:rPr>
        <w:t>办理税务注销登记，无税务申报记录（税务申报情况为“非正常注销”状态）</w:t>
      </w:r>
      <w:r>
        <w:rPr>
          <w:rFonts w:hint="eastAsia" w:ascii="仿宋_GB2312" w:hAnsi="仿宋_GB2312" w:eastAsia="仿宋_GB2312" w:cs="仿宋_GB2312"/>
          <w:color w:val="auto"/>
          <w:spacing w:val="0"/>
          <w:sz w:val="32"/>
          <w:szCs w:val="32"/>
          <w:u w:val="none"/>
          <w:lang w:val="en-US" w:eastAsia="zh-CN"/>
        </w:rPr>
        <w:t>的事实；</w:t>
      </w:r>
    </w:p>
    <w:p w14:paraId="7DD4F197">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60" w:lineRule="exact"/>
        <w:ind w:right="0" w:rightChars="0" w:firstLine="656" w:firstLineChars="200"/>
        <w:jc w:val="both"/>
        <w:textAlignment w:val="baseline"/>
        <w:rPr>
          <w:rFonts w:hint="eastAsia" w:ascii="仿宋_GB2312" w:hAnsi="仿宋_GB2312" w:eastAsia="仿宋_GB2312" w:cs="仿宋_GB2312"/>
          <w:color w:val="auto"/>
          <w:spacing w:val="4"/>
          <w:sz w:val="32"/>
          <w:szCs w:val="32"/>
          <w:u w:val="none" w:color="auto"/>
          <w:lang w:val="en-US" w:eastAsia="zh-CN"/>
        </w:rPr>
      </w:pPr>
      <w:r>
        <w:rPr>
          <w:rFonts w:hint="eastAsia" w:ascii="仿宋_GB2312" w:hAnsi="仿宋_GB2312" w:eastAsia="仿宋_GB2312" w:cs="仿宋_GB2312"/>
          <w:color w:val="auto"/>
          <w:spacing w:val="4"/>
          <w:sz w:val="32"/>
          <w:szCs w:val="32"/>
          <w:u w:val="none" w:color="auto"/>
          <w:lang w:val="en-US" w:eastAsia="zh-CN"/>
        </w:rPr>
        <w:t>5.2024年12月20日，我局执法人员依法制作现场笔录1份，证明我局执法人员通过登记的住所未发现当事人主体及经营活动和现场无法联系到当事人法定代表人的事实；</w:t>
      </w:r>
    </w:p>
    <w:p w14:paraId="7DA2737B">
      <w:pPr>
        <w:keepNext w:val="0"/>
        <w:keepLines w:val="0"/>
        <w:pageBreakBefore w:val="0"/>
        <w:kinsoku/>
        <w:wordWrap/>
        <w:overflowPunct w:val="0"/>
        <w:autoSpaceDE w:val="0"/>
        <w:bidi w:val="0"/>
        <w:spacing w:line="560" w:lineRule="exact"/>
        <w:ind w:left="0" w:firstLine="640" w:firstLineChars="200"/>
        <w:jc w:val="both"/>
        <w:rPr>
          <w:rFonts w:hint="eastAsia" w:ascii="仿宋_GB2312" w:hAnsi="仿宋_GB2312" w:eastAsia="仿宋_GB2312" w:cs="仿宋_GB2312"/>
          <w:color w:val="auto"/>
          <w:spacing w:val="-6"/>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6.2024年12月20日，我局执法人员依法提取新疆生产建设兵团第十四师昆玉市皮山农场二连管理委员会出具的证明一份，证明</w:t>
      </w:r>
      <w:r>
        <w:rPr>
          <w:rFonts w:hint="eastAsia" w:ascii="仿宋_GB2312" w:hAnsi="仿宋_GB2312" w:eastAsia="仿宋_GB2312" w:cs="仿宋_GB2312"/>
          <w:color w:val="auto"/>
          <w:spacing w:val="-6"/>
          <w:sz w:val="32"/>
          <w:szCs w:val="32"/>
          <w:highlight w:val="none"/>
          <w:u w:val="none"/>
          <w:lang w:val="en-US" w:eastAsia="zh-CN"/>
        </w:rPr>
        <w:t>昆玉市腾云养殖专业合作社涉嫌连续四年未经营的事实；</w:t>
      </w:r>
    </w:p>
    <w:p w14:paraId="38515136">
      <w:pPr>
        <w:keepNext w:val="0"/>
        <w:keepLines w:val="0"/>
        <w:pageBreakBefore w:val="0"/>
        <w:kinsoku/>
        <w:wordWrap/>
        <w:overflowPunct w:val="0"/>
        <w:autoSpaceDE w:val="0"/>
        <w:bidi w:val="0"/>
        <w:spacing w:line="560" w:lineRule="exact"/>
        <w:ind w:left="0" w:firstLine="616" w:firstLineChars="200"/>
        <w:jc w:val="both"/>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pacing w:val="-6"/>
          <w:sz w:val="32"/>
          <w:szCs w:val="32"/>
          <w:highlight w:val="none"/>
          <w:u w:val="none"/>
          <w:lang w:val="en-US" w:eastAsia="zh-CN"/>
        </w:rPr>
        <w:t>7.2024年12月20日，我局执法人员依法提取</w:t>
      </w:r>
      <w:r>
        <w:rPr>
          <w:rFonts w:hint="eastAsia" w:ascii="仿宋_GB2312" w:hAnsi="仿宋_GB2312" w:eastAsia="仿宋_GB2312" w:cs="仿宋_GB2312"/>
          <w:color w:val="auto"/>
          <w:sz w:val="32"/>
          <w:szCs w:val="32"/>
          <w:highlight w:val="none"/>
          <w:u w:val="none"/>
          <w:lang w:val="en-US" w:eastAsia="zh-CN"/>
        </w:rPr>
        <w:t>新疆生产建设兵团第十四师昆玉市皮山农场二连会计</w:t>
      </w:r>
      <w:r>
        <w:rPr>
          <w:rFonts w:hint="eastAsia" w:ascii="仿宋_GB2312" w:hAnsi="仿宋_GB2312" w:eastAsia="仿宋_GB2312" w:cs="仿宋_GB2312"/>
          <w:color w:val="auto"/>
          <w:spacing w:val="-6"/>
          <w:sz w:val="32"/>
          <w:szCs w:val="32"/>
          <w:highlight w:val="none"/>
          <w:u w:val="none"/>
          <w:lang w:val="en-US" w:eastAsia="zh-CN"/>
        </w:rPr>
        <w:t>阿***·阿***</w:t>
      </w:r>
      <w:r>
        <w:rPr>
          <w:rFonts w:hint="eastAsia" w:ascii="仿宋_GB2312" w:hAnsi="仿宋_GB2312" w:eastAsia="仿宋_GB2312" w:cs="仿宋_GB2312"/>
          <w:color w:val="auto"/>
          <w:sz w:val="32"/>
          <w:szCs w:val="32"/>
          <w:highlight w:val="none"/>
          <w:u w:val="none"/>
          <w:lang w:val="en-US" w:eastAsia="zh-CN"/>
        </w:rPr>
        <w:t>身份证复印件一份，证明见证人的身份信息；</w:t>
      </w:r>
    </w:p>
    <w:p w14:paraId="2F8EB2F1">
      <w:pPr>
        <w:keepNext w:val="0"/>
        <w:keepLines w:val="0"/>
        <w:pageBreakBefore w:val="0"/>
        <w:kinsoku/>
        <w:wordWrap/>
        <w:overflowPunct w:val="0"/>
        <w:autoSpaceDE w:val="0"/>
        <w:bidi w:val="0"/>
        <w:spacing w:line="560" w:lineRule="exact"/>
        <w:ind w:left="0" w:firstLine="640" w:firstLineChars="200"/>
        <w:jc w:val="both"/>
        <w:rPr>
          <w:rFonts w:hint="eastAsia" w:ascii="仿宋_GB2312" w:hAnsi="仿宋_GB2312" w:eastAsia="仿宋_GB2312" w:cs="仿宋_GB2312"/>
          <w:color w:val="auto"/>
          <w:spacing w:val="-6"/>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8.</w:t>
      </w:r>
      <w:r>
        <w:rPr>
          <w:rFonts w:hint="eastAsia" w:ascii="仿宋_GB2312" w:hAnsi="仿宋_GB2312" w:eastAsia="仿宋_GB2312" w:cs="仿宋_GB2312"/>
          <w:color w:val="auto"/>
          <w:spacing w:val="-6"/>
          <w:sz w:val="32"/>
          <w:szCs w:val="32"/>
          <w:highlight w:val="none"/>
          <w:u w:val="none"/>
          <w:lang w:val="en-US" w:eastAsia="zh-CN"/>
        </w:rPr>
        <w:t>2024年12月20日，我局执法人员依法对</w:t>
      </w:r>
      <w:r>
        <w:rPr>
          <w:rFonts w:hint="eastAsia" w:ascii="仿宋_GB2312" w:hAnsi="仿宋_GB2312" w:eastAsia="仿宋_GB2312" w:cs="仿宋_GB2312"/>
          <w:color w:val="auto"/>
          <w:sz w:val="32"/>
          <w:szCs w:val="32"/>
          <w:highlight w:val="none"/>
          <w:u w:val="none"/>
          <w:lang w:val="en-US" w:eastAsia="zh-CN"/>
        </w:rPr>
        <w:t>二连会计</w:t>
      </w:r>
      <w:r>
        <w:rPr>
          <w:rFonts w:hint="eastAsia" w:ascii="仿宋_GB2312" w:hAnsi="仿宋_GB2312" w:eastAsia="仿宋_GB2312" w:cs="仿宋_GB2312"/>
          <w:color w:val="auto"/>
          <w:spacing w:val="-6"/>
          <w:sz w:val="32"/>
          <w:szCs w:val="32"/>
          <w:highlight w:val="none"/>
          <w:u w:val="none"/>
          <w:lang w:val="en-US" w:eastAsia="zh-CN"/>
        </w:rPr>
        <w:t>阿***·阿***</w:t>
      </w:r>
      <w:r>
        <w:rPr>
          <w:rFonts w:hint="eastAsia" w:ascii="仿宋_GB2312" w:hAnsi="仿宋_GB2312" w:eastAsia="仿宋_GB2312" w:cs="仿宋_GB2312"/>
          <w:color w:val="auto"/>
          <w:sz w:val="32"/>
          <w:szCs w:val="32"/>
          <w:highlight w:val="none"/>
          <w:u w:val="none"/>
          <w:lang w:val="en-US" w:eastAsia="zh-CN"/>
        </w:rPr>
        <w:t>制作询问笔录1份，证明</w:t>
      </w:r>
      <w:r>
        <w:rPr>
          <w:rFonts w:hint="eastAsia" w:ascii="仿宋_GB2312" w:hAnsi="仿宋_GB2312" w:eastAsia="仿宋_GB2312" w:cs="仿宋_GB2312"/>
          <w:color w:val="auto"/>
          <w:spacing w:val="4"/>
          <w:sz w:val="32"/>
          <w:szCs w:val="32"/>
          <w:u w:val="none" w:color="auto"/>
          <w:lang w:val="en-US" w:eastAsia="zh-CN"/>
        </w:rPr>
        <w:t>2021年5月之后</w:t>
      </w:r>
      <w:r>
        <w:rPr>
          <w:rFonts w:hint="eastAsia" w:ascii="仿宋_GB2312" w:hAnsi="仿宋_GB2312" w:eastAsia="仿宋_GB2312" w:cs="仿宋_GB2312"/>
          <w:color w:val="auto"/>
          <w:sz w:val="32"/>
          <w:szCs w:val="32"/>
          <w:highlight w:val="none"/>
          <w:u w:val="none"/>
          <w:lang w:val="en-US" w:eastAsia="zh-CN"/>
        </w:rPr>
        <w:t>当</w:t>
      </w:r>
      <w:r>
        <w:rPr>
          <w:rFonts w:hint="eastAsia" w:ascii="仿宋_GB2312" w:hAnsi="仿宋_GB2312" w:eastAsia="仿宋_GB2312" w:cs="仿宋_GB2312"/>
          <w:color w:val="auto"/>
          <w:spacing w:val="4"/>
          <w:sz w:val="32"/>
          <w:szCs w:val="32"/>
          <w:u w:val="none" w:color="auto"/>
          <w:lang w:val="en-US" w:eastAsia="zh-CN"/>
        </w:rPr>
        <w:t>事人未租赁该住所的事实；</w:t>
      </w:r>
    </w:p>
    <w:p w14:paraId="30F0C365">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60" w:lineRule="exact"/>
        <w:ind w:right="0" w:rightChars="0" w:firstLine="656" w:firstLineChars="200"/>
        <w:jc w:val="both"/>
        <w:textAlignment w:val="baseline"/>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pacing w:val="4"/>
          <w:sz w:val="32"/>
          <w:szCs w:val="32"/>
          <w:u w:val="none" w:color="auto"/>
          <w:lang w:val="en-US" w:eastAsia="zh-CN"/>
        </w:rPr>
        <w:t>9.2024年12月20日，我局执法人员依法拍摄的当事人住所现场检查照片3张，证明当事人在注册登记住所未开展任何经营活动的事实；</w:t>
      </w:r>
    </w:p>
    <w:p w14:paraId="33B4AF4B">
      <w:pPr>
        <w:keepNext w:val="0"/>
        <w:keepLines w:val="0"/>
        <w:pageBreakBefore w:val="0"/>
        <w:widowControl w:val="0"/>
        <w:tabs>
          <w:tab w:val="left" w:pos="438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eastAsia" w:ascii="仿宋_GB2312" w:hAnsi="仿宋_GB2312" w:eastAsia="仿宋_GB2312" w:cs="仿宋_GB2312"/>
          <w:color w:val="auto"/>
          <w:spacing w:val="0"/>
          <w:sz w:val="32"/>
          <w:szCs w:val="32"/>
          <w:highlight w:val="none"/>
          <w:u w:val="none" w:color="auto"/>
          <w:shd w:val="clear" w:color="auto" w:fill="auto"/>
          <w:lang w:val="en-US" w:eastAsia="zh-CN"/>
        </w:rPr>
      </w:pPr>
      <w:r>
        <w:rPr>
          <w:rFonts w:hint="eastAsia" w:ascii="仿宋_GB2312" w:hAnsi="仿宋_GB2312" w:eastAsia="仿宋_GB2312" w:cs="仿宋_GB2312"/>
          <w:color w:val="auto"/>
          <w:sz w:val="32"/>
          <w:szCs w:val="32"/>
          <w:highlight w:val="none"/>
          <w:u w:val="none"/>
          <w:lang w:val="en-US" w:eastAsia="zh-CN"/>
        </w:rPr>
        <w:t>10.2024年12月20日，我局执法人员依法提取国家企业信用信息公示系统企业信用信息公示报告一</w:t>
      </w:r>
      <w:r>
        <w:rPr>
          <w:rFonts w:hint="eastAsia" w:ascii="仿宋_GB2312" w:hAnsi="仿宋_GB2312" w:eastAsia="仿宋_GB2312" w:cs="仿宋_GB2312"/>
          <w:color w:val="auto"/>
          <w:spacing w:val="0"/>
          <w:sz w:val="32"/>
          <w:szCs w:val="32"/>
          <w:highlight w:val="none"/>
          <w:u w:val="none" w:color="auto"/>
          <w:shd w:val="clear" w:color="auto" w:fill="auto"/>
          <w:lang w:val="en-US" w:eastAsia="zh-CN"/>
        </w:rPr>
        <w:t>份，证明当事人</w:t>
      </w:r>
      <w:r>
        <w:rPr>
          <w:rFonts w:hint="eastAsia" w:ascii="仿宋_GB2312" w:hAnsi="仿宋_GB2312" w:eastAsia="仿宋_GB2312" w:cs="仿宋_GB2312"/>
          <w:color w:val="auto"/>
          <w:sz w:val="32"/>
          <w:szCs w:val="32"/>
          <w:highlight w:val="none"/>
          <w:u w:val="none"/>
          <w:lang w:val="en-US" w:eastAsia="zh-CN"/>
        </w:rPr>
        <w:t>信用信息公示</w:t>
      </w:r>
      <w:r>
        <w:rPr>
          <w:rFonts w:hint="eastAsia" w:ascii="仿宋_GB2312" w:hAnsi="仿宋_GB2312" w:eastAsia="仿宋_GB2312" w:cs="仿宋_GB2312"/>
          <w:color w:val="auto"/>
          <w:spacing w:val="0"/>
          <w:sz w:val="32"/>
          <w:szCs w:val="32"/>
          <w:highlight w:val="none"/>
          <w:u w:val="none" w:color="auto"/>
          <w:shd w:val="clear" w:color="auto" w:fill="auto"/>
          <w:lang w:val="en-US" w:eastAsia="zh-CN"/>
        </w:rPr>
        <w:t>基本情况</w:t>
      </w:r>
      <w:r>
        <w:rPr>
          <w:rFonts w:hint="eastAsia" w:ascii="仿宋_GB2312" w:hAnsi="仿宋_GB2312" w:eastAsia="仿宋_GB2312" w:cs="仿宋_GB2312"/>
          <w:color w:val="auto"/>
          <w:sz w:val="32"/>
          <w:szCs w:val="32"/>
          <w:highlight w:val="none"/>
          <w:u w:val="none"/>
          <w:lang w:val="en-US" w:eastAsia="zh-CN"/>
        </w:rPr>
        <w:t>及三个年度未按规定报送并公示年度报告</w:t>
      </w:r>
      <w:r>
        <w:rPr>
          <w:rFonts w:hint="eastAsia" w:ascii="仿宋_GB2312" w:hAnsi="仿宋_GB2312" w:eastAsia="仿宋_GB2312" w:cs="仿宋_GB2312"/>
          <w:color w:val="auto"/>
          <w:spacing w:val="0"/>
          <w:sz w:val="32"/>
          <w:szCs w:val="32"/>
          <w:highlight w:val="none"/>
          <w:u w:val="none" w:color="auto"/>
          <w:shd w:val="clear" w:color="auto" w:fill="auto"/>
          <w:lang w:val="en-US" w:eastAsia="zh-CN"/>
        </w:rPr>
        <w:t>的事实；</w:t>
      </w:r>
    </w:p>
    <w:p w14:paraId="1E5690D6">
      <w:pPr>
        <w:keepNext w:val="0"/>
        <w:keepLines w:val="0"/>
        <w:pageBreakBefore w:val="0"/>
        <w:kinsoku/>
        <w:wordWrap/>
        <w:overflowPunct w:val="0"/>
        <w:autoSpaceDE w:val="0"/>
        <w:bidi w:val="0"/>
        <w:spacing w:line="560" w:lineRule="exact"/>
        <w:ind w:left="0" w:firstLine="656" w:firstLineChars="200"/>
        <w:jc w:val="both"/>
        <w:rPr>
          <w:rFonts w:hint="eastAsia" w:ascii="仿宋_GB2312" w:hAnsi="仿宋_GB2312" w:eastAsia="仿宋_GB2312" w:cs="仿宋_GB2312"/>
          <w:color w:val="auto"/>
          <w:spacing w:val="-6"/>
          <w:sz w:val="32"/>
          <w:szCs w:val="32"/>
          <w:highlight w:val="none"/>
          <w:u w:val="none"/>
          <w:lang w:val="en-US" w:eastAsia="zh-CN"/>
        </w:rPr>
      </w:pPr>
      <w:r>
        <w:rPr>
          <w:rFonts w:hint="eastAsia" w:ascii="仿宋_GB2312" w:hAnsi="仿宋_GB2312" w:eastAsia="仿宋_GB2312" w:cs="仿宋_GB2312"/>
          <w:color w:val="auto"/>
          <w:spacing w:val="4"/>
          <w:sz w:val="32"/>
          <w:szCs w:val="32"/>
          <w:u w:val="none" w:color="auto"/>
          <w:lang w:val="en-US" w:eastAsia="zh-CN"/>
        </w:rPr>
        <w:t>11.2025年1月7日，我局执法人员依法提取新疆生产建设兵团第十四师皮山农场农业和林业草原中心出具的证明一份，证明昆玉市腾云养殖专业合作社涉嫌连续四年未经营的事实；</w:t>
      </w:r>
    </w:p>
    <w:p w14:paraId="32783295">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60" w:lineRule="exact"/>
        <w:ind w:right="0" w:rightChars="0" w:firstLine="640" w:firstLineChars="200"/>
        <w:jc w:val="both"/>
        <w:textAlignment w:val="baseline"/>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12.2025年1月16日，我局执法人员依法提取当事人成员</w:t>
      </w:r>
      <w:r>
        <w:rPr>
          <w:rFonts w:hint="eastAsia" w:ascii="仿宋_GB2312" w:hAnsi="仿宋_GB2312" w:eastAsia="仿宋_GB2312" w:cs="仿宋_GB2312"/>
          <w:color w:val="auto"/>
          <w:spacing w:val="4"/>
          <w:sz w:val="32"/>
          <w:szCs w:val="32"/>
          <w:highlight w:val="none"/>
          <w:u w:val="none" w:color="auto"/>
          <w:lang w:val="en-US" w:eastAsia="zh-CN"/>
        </w:rPr>
        <w:t>陈连珍</w:t>
      </w:r>
      <w:r>
        <w:rPr>
          <w:rFonts w:hint="eastAsia" w:ascii="仿宋_GB2312" w:hAnsi="仿宋_GB2312" w:eastAsia="仿宋_GB2312" w:cs="仿宋_GB2312"/>
          <w:color w:val="auto"/>
          <w:sz w:val="32"/>
          <w:szCs w:val="32"/>
          <w:highlight w:val="none"/>
          <w:u w:val="none"/>
          <w:lang w:val="en-US" w:eastAsia="zh-CN"/>
        </w:rPr>
        <w:t>身份证复印件各一份，证明当事人成员的身份信息；</w:t>
      </w:r>
    </w:p>
    <w:p w14:paraId="7E6267CD">
      <w:pPr>
        <w:keepNext w:val="0"/>
        <w:keepLines w:val="0"/>
        <w:pageBreakBefore w:val="0"/>
        <w:kinsoku/>
        <w:wordWrap/>
        <w:overflowPunct w:val="0"/>
        <w:autoSpaceDE w:val="0"/>
        <w:bidi w:val="0"/>
        <w:spacing w:line="560" w:lineRule="exact"/>
        <w:ind w:left="0" w:firstLine="640" w:firstLineChars="20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highlight w:val="none"/>
          <w:u w:val="none"/>
          <w:lang w:val="en-US" w:eastAsia="zh-CN"/>
        </w:rPr>
        <w:t>13.2025年1月16日，我局执法人员依法对当事人成员</w:t>
      </w:r>
      <w:r>
        <w:rPr>
          <w:rFonts w:hint="eastAsia" w:ascii="仿宋_GB2312" w:hAnsi="仿宋_GB2312" w:eastAsia="仿宋_GB2312" w:cs="仿宋_GB2312"/>
          <w:color w:val="auto"/>
          <w:spacing w:val="4"/>
          <w:sz w:val="32"/>
          <w:szCs w:val="32"/>
          <w:u w:val="none" w:color="auto"/>
          <w:lang w:val="en-US" w:eastAsia="zh-CN"/>
        </w:rPr>
        <w:t>陈连珍</w:t>
      </w:r>
      <w:r>
        <w:rPr>
          <w:rFonts w:hint="eastAsia" w:ascii="仿宋_GB2312" w:hAnsi="仿宋_GB2312" w:eastAsia="仿宋_GB2312" w:cs="仿宋_GB2312"/>
          <w:color w:val="auto"/>
          <w:sz w:val="32"/>
          <w:szCs w:val="32"/>
          <w:highlight w:val="none"/>
          <w:u w:val="none"/>
          <w:lang w:val="en-US" w:eastAsia="zh-CN"/>
        </w:rPr>
        <w:t>制作询问笔录1份，证明当</w:t>
      </w:r>
      <w:r>
        <w:rPr>
          <w:rFonts w:hint="eastAsia" w:ascii="仿宋_GB2312" w:hAnsi="仿宋_GB2312" w:eastAsia="仿宋_GB2312" w:cs="仿宋_GB2312"/>
          <w:color w:val="auto"/>
          <w:spacing w:val="4"/>
          <w:sz w:val="32"/>
          <w:szCs w:val="32"/>
          <w:u w:val="none" w:color="auto"/>
          <w:lang w:val="en-US" w:eastAsia="zh-CN"/>
        </w:rPr>
        <w:t>事人成员自</w:t>
      </w:r>
      <w:r>
        <w:rPr>
          <w:rFonts w:hint="eastAsia" w:ascii="仿宋_GB2312" w:hAnsi="仿宋_GB2312" w:eastAsia="仿宋_GB2312" w:cs="仿宋_GB2312"/>
          <w:color w:val="auto"/>
          <w:spacing w:val="4"/>
          <w:sz w:val="32"/>
          <w:szCs w:val="32"/>
          <w:highlight w:val="none"/>
          <w:u w:val="none" w:color="auto"/>
          <w:lang w:val="en-US" w:eastAsia="zh-CN"/>
        </w:rPr>
        <w:t>2021年5月到2024年底未参与</w:t>
      </w:r>
      <w:r>
        <w:rPr>
          <w:rFonts w:hint="eastAsia" w:ascii="仿宋_GB2312" w:hAnsi="仿宋_GB2312" w:eastAsia="仿宋_GB2312" w:cs="仿宋_GB2312"/>
          <w:color w:val="auto"/>
          <w:spacing w:val="4"/>
          <w:sz w:val="32"/>
          <w:szCs w:val="32"/>
          <w:u w:val="none" w:color="auto"/>
          <w:lang w:val="en-US" w:eastAsia="zh-CN"/>
        </w:rPr>
        <w:t>开展经营活动</w:t>
      </w:r>
      <w:r>
        <w:rPr>
          <w:rFonts w:hint="eastAsia" w:ascii="仿宋_GB2312" w:hAnsi="仿宋_GB2312" w:eastAsia="仿宋_GB2312" w:cs="仿宋_GB2312"/>
          <w:color w:val="auto"/>
          <w:sz w:val="32"/>
          <w:szCs w:val="32"/>
          <w:lang w:val="en-US" w:eastAsia="zh-CN"/>
        </w:rPr>
        <w:t>的事实；</w:t>
      </w:r>
    </w:p>
    <w:p w14:paraId="01817DD7">
      <w:pPr>
        <w:keepNext w:val="0"/>
        <w:keepLines w:val="0"/>
        <w:pageBreakBefore w:val="0"/>
        <w:kinsoku/>
        <w:wordWrap/>
        <w:overflowPunct w:val="0"/>
        <w:autoSpaceDE w:val="0"/>
        <w:bidi w:val="0"/>
        <w:spacing w:line="560" w:lineRule="exact"/>
        <w:ind w:left="0" w:firstLine="640" w:firstLineChars="20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14.2025年1月16日，我局执法人员通过信用监管平台查询提取的当事人2020年度和2021年度的《农民专业合作社年度报告表》各1份，证明当事人2020年、2021年财务数据均为零，未开展经营活动的事实；</w:t>
      </w:r>
    </w:p>
    <w:p w14:paraId="3C97E2ED">
      <w:pPr>
        <w:keepNext w:val="0"/>
        <w:keepLines w:val="0"/>
        <w:pageBreakBefore w:val="0"/>
        <w:kinsoku/>
        <w:wordWrap/>
        <w:overflowPunct w:val="0"/>
        <w:autoSpaceDE w:val="0"/>
        <w:bidi w:val="0"/>
        <w:spacing w:line="560" w:lineRule="exact"/>
        <w:ind w:left="0" w:firstLine="640" w:firstLineChars="20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15.2025年1月16日，我局执法人员通过国家企业信用信息公示系统查询提取的昆玉市腾云养殖专业合作社注销备案公告1份，证明当事人自2022年6月24日起，进入清算程序，不再开展经营活动的事实。</w:t>
      </w:r>
    </w:p>
    <w:p w14:paraId="425E2D85">
      <w:pPr>
        <w:keepNext w:val="0"/>
        <w:keepLines w:val="0"/>
        <w:pageBreakBefore w:val="0"/>
        <w:kinsoku/>
        <w:wordWrap/>
        <w:overflowPunct w:val="0"/>
        <w:autoSpaceDE w:val="0"/>
        <w:bidi w:val="0"/>
        <w:spacing w:line="560" w:lineRule="exact"/>
        <w:ind w:left="0" w:firstLine="640" w:firstLineChars="200"/>
        <w:jc w:val="both"/>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以上证据材料均依照法定程序提取或收集，均由我局执法人员依法查询，符合法定形式。</w:t>
      </w:r>
    </w:p>
    <w:p w14:paraId="070474BB">
      <w:pPr>
        <w:keepNext w:val="0"/>
        <w:keepLines w:val="0"/>
        <w:pageBreakBefore w:val="0"/>
        <w:widowControl w:val="0"/>
        <w:kinsoku/>
        <w:wordWrap/>
        <w:overflowPunct/>
        <w:topLinePunct w:val="0"/>
        <w:autoSpaceDE w:val="0"/>
        <w:autoSpaceDN w:val="0"/>
        <w:bidi w:val="0"/>
        <w:adjustRightInd w:val="0"/>
        <w:snapToGrid w:val="0"/>
        <w:spacing w:line="560" w:lineRule="exact"/>
        <w:ind w:right="0" w:firstLine="640" w:firstLineChars="200"/>
        <w:jc w:val="both"/>
        <w:textAlignment w:val="baseline"/>
        <w:rPr>
          <w:rStyle w:val="5"/>
          <w:rFonts w:hint="eastAsia" w:ascii="仿宋_GB2312" w:hAnsi="仿宋_GB2312" w:eastAsia="仿宋_GB2312" w:cs="仿宋_GB2312"/>
          <w:color w:val="auto"/>
          <w:kern w:val="1"/>
          <w:sz w:val="32"/>
          <w:szCs w:val="32"/>
          <w:highlight w:val="none"/>
          <w:u w:val="none" w:color="auto"/>
          <w:lang w:val="en-US" w:eastAsia="zh-CN"/>
        </w:rPr>
      </w:pPr>
      <w:r>
        <w:rPr>
          <w:rStyle w:val="5"/>
          <w:rFonts w:hint="eastAsia" w:ascii="仿宋_GB2312" w:hAnsi="仿宋_GB2312" w:eastAsia="仿宋_GB2312" w:cs="仿宋_GB2312"/>
          <w:color w:val="auto"/>
          <w:kern w:val="1"/>
          <w:sz w:val="32"/>
          <w:szCs w:val="32"/>
          <w:highlight w:val="none"/>
          <w:u w:val="none" w:color="auto"/>
          <w:lang w:val="en-US" w:eastAsia="zh-CN"/>
        </w:rPr>
        <w:t>案件办理过程中，我局执法人员在邮寄专用信函时已告知当事人依法享有陈述、申辩的权利，因无人签收，无法联系到当事人被</w:t>
      </w:r>
      <w:r>
        <w:rPr>
          <w:rFonts w:hint="eastAsia" w:ascii="仿宋_GB2312" w:hAnsi="仿宋_GB2312" w:eastAsia="仿宋_GB2312" w:cs="仿宋_GB2312"/>
          <w:color w:val="auto"/>
          <w:sz w:val="32"/>
          <w:szCs w:val="32"/>
          <w:highlight w:val="none"/>
          <w:lang w:val="en-US" w:eastAsia="zh-CN"/>
        </w:rPr>
        <w:t>中国邮政集团公司新疆维吾尔自治区皮山县农场邮政所</w:t>
      </w:r>
      <w:r>
        <w:rPr>
          <w:rStyle w:val="5"/>
          <w:rFonts w:hint="eastAsia" w:ascii="仿宋_GB2312" w:hAnsi="仿宋_GB2312" w:eastAsia="仿宋_GB2312" w:cs="仿宋_GB2312"/>
          <w:color w:val="auto"/>
          <w:kern w:val="1"/>
          <w:sz w:val="32"/>
          <w:szCs w:val="32"/>
          <w:highlight w:val="none"/>
          <w:u w:val="none" w:color="auto"/>
          <w:lang w:val="en-US" w:eastAsia="zh-CN"/>
        </w:rPr>
        <w:t>退回，我局未收到当事人陈述、申辩材料。2025年5月8日，我局执法人员依法制作《第十四师市场监督管理局行政处罚告知书》(第十四师市监罚告</w:t>
      </w:r>
      <w:r>
        <w:rPr>
          <w:rFonts w:hint="eastAsia" w:ascii="仿宋_GB2312" w:hAnsi="仿宋_GB2312" w:eastAsia="仿宋_GB2312" w:cs="仿宋_GB2312"/>
          <w:color w:val="auto"/>
          <w:spacing w:val="1"/>
          <w:sz w:val="32"/>
          <w:szCs w:val="32"/>
          <w:u w:val="none" w:color="auto"/>
          <w:lang w:val="en-US" w:eastAsia="zh-CN"/>
        </w:rPr>
        <w:t>〔2025〕</w:t>
      </w:r>
      <w:r>
        <w:rPr>
          <w:rStyle w:val="5"/>
          <w:rFonts w:hint="eastAsia" w:ascii="仿宋_GB2312" w:hAnsi="仿宋_GB2312" w:eastAsia="仿宋_GB2312" w:cs="仿宋_GB2312"/>
          <w:color w:val="auto"/>
          <w:kern w:val="1"/>
          <w:sz w:val="32"/>
          <w:szCs w:val="32"/>
          <w:highlight w:val="none"/>
          <w:u w:val="none" w:color="auto"/>
          <w:lang w:val="en-US" w:eastAsia="zh-CN"/>
        </w:rPr>
        <w:t>12号)，文书内容包括拟作出的行政处罚内容以及事实、理由、依据，以及当事人依法享有的陈述、申辩的权利。同日，我局通过昆玉政务网、国家企业信用信息公示系统、昆玉市场监管公众号发布《第十四师市场监督管理局行政处罚文书送达公告》(第十四师市监罚送告</w:t>
      </w:r>
      <w:r>
        <w:rPr>
          <w:rFonts w:hint="eastAsia" w:ascii="仿宋_GB2312" w:hAnsi="仿宋_GB2312" w:eastAsia="仿宋_GB2312" w:cs="仿宋_GB2312"/>
          <w:color w:val="auto"/>
          <w:spacing w:val="1"/>
          <w:sz w:val="32"/>
          <w:szCs w:val="32"/>
          <w:u w:val="none" w:color="auto"/>
          <w:lang w:val="en-US" w:eastAsia="zh-CN"/>
        </w:rPr>
        <w:t>〔2025〕</w:t>
      </w:r>
      <w:r>
        <w:rPr>
          <w:rStyle w:val="5"/>
          <w:rFonts w:hint="eastAsia" w:ascii="仿宋_GB2312" w:hAnsi="仿宋_GB2312" w:eastAsia="仿宋_GB2312" w:cs="仿宋_GB2312"/>
          <w:color w:val="auto"/>
          <w:kern w:val="1"/>
          <w:sz w:val="32"/>
          <w:szCs w:val="32"/>
          <w:highlight w:val="none"/>
          <w:u w:val="none" w:color="auto"/>
          <w:lang w:val="en-US" w:eastAsia="zh-CN"/>
        </w:rPr>
        <w:t>12号)，告知当事人享有陈述、申辩、听证的权利，我局自公告发布之日起五个工作日内未收到当事人提出的陈述、申辩、听证申请。自公告发布之日起三十日内，当事人也未到本局领取《第十四师市场监督管理局行政处罚告知书》(第十四师市监罚告</w:t>
      </w:r>
      <w:r>
        <w:rPr>
          <w:rFonts w:hint="eastAsia" w:ascii="仿宋_GB2312" w:hAnsi="仿宋_GB2312" w:eastAsia="仿宋_GB2312" w:cs="仿宋_GB2312"/>
          <w:color w:val="auto"/>
          <w:spacing w:val="1"/>
          <w:sz w:val="32"/>
          <w:szCs w:val="32"/>
          <w:u w:val="none" w:color="auto"/>
          <w:lang w:val="en-US" w:eastAsia="zh-CN"/>
        </w:rPr>
        <w:t>〔2025〕</w:t>
      </w:r>
      <w:r>
        <w:rPr>
          <w:rStyle w:val="5"/>
          <w:rFonts w:hint="eastAsia" w:ascii="仿宋_GB2312" w:hAnsi="仿宋_GB2312" w:eastAsia="仿宋_GB2312" w:cs="仿宋_GB2312"/>
          <w:color w:val="auto"/>
          <w:kern w:val="1"/>
          <w:sz w:val="32"/>
          <w:szCs w:val="32"/>
          <w:highlight w:val="none"/>
          <w:u w:val="none" w:color="auto"/>
          <w:lang w:val="en-US" w:eastAsia="zh-CN"/>
        </w:rPr>
        <w:t>12号)。</w:t>
      </w:r>
    </w:p>
    <w:p w14:paraId="7384D533">
      <w:pPr>
        <w:keepNext w:val="0"/>
        <w:keepLines w:val="0"/>
        <w:pageBreakBefore w:val="0"/>
        <w:widowControl w:val="0"/>
        <w:kinsoku/>
        <w:wordWrap/>
        <w:overflowPunct w:val="0"/>
        <w:autoSpaceDE w:val="0"/>
        <w:bidi w:val="0"/>
        <w:spacing w:line="560" w:lineRule="exact"/>
        <w:ind w:left="0" w:leftChars="0" w:firstLine="669"/>
        <w:jc w:val="both"/>
        <w:textAlignment w:val="auto"/>
        <w:rPr>
          <w:rStyle w:val="5"/>
          <w:rFonts w:hint="eastAsia" w:ascii="仿宋_GB2312" w:hAnsi="仿宋_GB2312" w:eastAsia="仿宋_GB2312" w:cs="仿宋_GB2312"/>
          <w:color w:val="auto"/>
          <w:kern w:val="1"/>
          <w:sz w:val="32"/>
          <w:szCs w:val="32"/>
          <w:highlight w:val="none"/>
          <w:u w:val="none" w:color="auto"/>
          <w:lang w:val="en-US" w:eastAsia="zh-CN"/>
        </w:rPr>
      </w:pPr>
      <w:bookmarkStart w:id="4" w:name="DYNAMIC—DWXX—tAj_dwmc—2"/>
      <w:r>
        <w:rPr>
          <w:rFonts w:hint="eastAsia" w:ascii="仿宋_GB2312" w:hAnsi="仿宋_GB2312" w:eastAsia="仿宋_GB2312" w:cs="仿宋_GB2312"/>
          <w:b/>
          <w:bCs w:val="0"/>
          <w:color w:val="auto"/>
          <w:sz w:val="32"/>
          <w:szCs w:val="32"/>
          <w:u w:val="none" w:color="auto"/>
          <w:lang w:val="en-US" w:eastAsia="zh-CN"/>
        </w:rPr>
        <w:t>本局认为</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z w:val="32"/>
          <w:szCs w:val="32"/>
          <w:lang w:val="en-US" w:eastAsia="zh-CN"/>
        </w:rPr>
        <w:t>当事人3个年度未按规定报送并公示年度报告，通过登记的住所无法取得联系，且连续3年7个月未开展经营活动的行为，违反了《中华人民共和国农民专业合作社法》第七十一条“农民专业合作社连续两年未从事经营活动的，吊销其营业执照。”的规定，构成连续3年7个月未从事经营活动的违法行为。依据《中华人民共和国农民专业合作社法》第七十一条“农民专业合作社连续两年未从事经营活动的，吊销其营业执照。”的规定，应当</w:t>
      </w:r>
      <w:r>
        <w:rPr>
          <w:rStyle w:val="5"/>
          <w:rFonts w:hint="eastAsia" w:ascii="仿宋_GB2312" w:hAnsi="仿宋_GB2312" w:eastAsia="仿宋_GB2312" w:cs="仿宋_GB2312"/>
          <w:color w:val="auto"/>
          <w:kern w:val="1"/>
          <w:sz w:val="32"/>
          <w:szCs w:val="32"/>
          <w:highlight w:val="none"/>
          <w:u w:val="none" w:color="auto"/>
          <w:lang w:val="en-US" w:eastAsia="zh-CN"/>
        </w:rPr>
        <w:t>吊销当事人的营业执照。</w:t>
      </w:r>
    </w:p>
    <w:p w14:paraId="1C2D58C9">
      <w:pPr>
        <w:keepNext w:val="0"/>
        <w:keepLines w:val="0"/>
        <w:pageBreakBefore w:val="0"/>
        <w:widowControl w:val="0"/>
        <w:kinsoku/>
        <w:wordWrap/>
        <w:overflowPunct w:val="0"/>
        <w:autoSpaceDE w:val="0"/>
        <w:bidi w:val="0"/>
        <w:spacing w:line="560" w:lineRule="exact"/>
        <w:ind w:left="0" w:leftChars="0" w:firstLine="669"/>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经查询《国家企业信用信息公示系统》，</w:t>
      </w:r>
      <w:r>
        <w:rPr>
          <w:rFonts w:hint="eastAsia" w:ascii="仿宋_GB2312" w:hAnsi="仿宋_GB2312" w:eastAsia="仿宋_GB2312" w:cs="仿宋_GB2312"/>
          <w:color w:val="auto"/>
          <w:sz w:val="32"/>
          <w:szCs w:val="32"/>
          <w:lang w:val="en-US" w:eastAsia="zh-CN"/>
        </w:rPr>
        <w:t>当事人</w:t>
      </w:r>
      <w:r>
        <w:rPr>
          <w:rFonts w:hint="eastAsia" w:ascii="仿宋_GB2312" w:hAnsi="仿宋_GB2312" w:eastAsia="仿宋_GB2312" w:cs="仿宋_GB2312"/>
          <w:color w:val="auto"/>
          <w:sz w:val="32"/>
          <w:szCs w:val="32"/>
          <w:highlight w:val="none"/>
          <w:u w:val="none"/>
          <w:lang w:val="en-US" w:eastAsia="zh-CN"/>
        </w:rPr>
        <w:t>3个年度未按规定报送并公示年度报告被列入经营异常名录未改正，且</w:t>
      </w:r>
      <w:r>
        <w:rPr>
          <w:rFonts w:hint="eastAsia" w:ascii="仿宋_GB2312" w:hAnsi="仿宋_GB2312" w:eastAsia="仿宋_GB2312" w:cs="仿宋_GB2312"/>
          <w:color w:val="auto"/>
          <w:sz w:val="32"/>
          <w:szCs w:val="32"/>
          <w:lang w:val="en-US" w:eastAsia="zh-CN"/>
        </w:rPr>
        <w:t>当事人</w:t>
      </w:r>
      <w:r>
        <w:rPr>
          <w:rFonts w:hint="eastAsia" w:ascii="仿宋_GB2312" w:hAnsi="仿宋_GB2312" w:eastAsia="仿宋_GB2312" w:cs="仿宋_GB2312"/>
          <w:color w:val="auto"/>
          <w:sz w:val="32"/>
          <w:szCs w:val="32"/>
          <w:highlight w:val="none"/>
          <w:u w:val="none"/>
          <w:lang w:val="en-US" w:eastAsia="zh-CN"/>
        </w:rPr>
        <w:t>自</w:t>
      </w:r>
      <w:r>
        <w:rPr>
          <w:rFonts w:hint="eastAsia" w:ascii="仿宋_GB2312" w:hAnsi="仿宋_GB2312" w:eastAsia="仿宋_GB2312" w:cs="仿宋_GB2312"/>
          <w:color w:val="auto"/>
          <w:sz w:val="32"/>
          <w:szCs w:val="32"/>
          <w:lang w:val="en-US" w:eastAsia="zh-CN"/>
        </w:rPr>
        <w:t>2021年5月</w:t>
      </w:r>
      <w:r>
        <w:rPr>
          <w:rFonts w:hint="eastAsia" w:ascii="仿宋_GB2312" w:hAnsi="仿宋_GB2312" w:eastAsia="仿宋_GB2312" w:cs="仿宋_GB2312"/>
          <w:sz w:val="32"/>
          <w:szCs w:val="32"/>
          <w:lang w:val="en-US" w:eastAsia="zh-CN"/>
        </w:rPr>
        <w:t>后</w:t>
      </w:r>
      <w:r>
        <w:rPr>
          <w:rFonts w:hint="eastAsia" w:ascii="仿宋_GB2312" w:hAnsi="仿宋_GB2312" w:eastAsia="仿宋_GB2312" w:cs="仿宋_GB2312"/>
          <w:color w:val="auto"/>
          <w:sz w:val="32"/>
          <w:szCs w:val="32"/>
          <w:highlight w:val="none"/>
          <w:u w:val="none"/>
          <w:lang w:val="en-US" w:eastAsia="zh-CN"/>
        </w:rPr>
        <w:t>未开展任何实际经营活动，违法行为人不具备不予行政处罚、减轻、从轻行政处罚的情形。</w:t>
      </w:r>
    </w:p>
    <w:p w14:paraId="52E08786">
      <w:pPr>
        <w:keepNext w:val="0"/>
        <w:keepLines w:val="0"/>
        <w:pageBreakBefore w:val="0"/>
        <w:widowControl w:val="0"/>
        <w:kinsoku/>
        <w:wordWrap/>
        <w:overflowPunct w:val="0"/>
        <w:autoSpaceDE w:val="0"/>
        <w:bidi w:val="0"/>
        <w:spacing w:line="560" w:lineRule="exact"/>
        <w:ind w:left="0" w:leftChars="0" w:firstLine="669"/>
        <w:jc w:val="both"/>
        <w:textAlignment w:val="auto"/>
        <w:rPr>
          <w:rStyle w:val="5"/>
          <w:rFonts w:hint="default" w:ascii="Times New Roman" w:hAnsi="Times New Roman" w:eastAsia="仿宋_GB2312" w:cs="Times New Roman"/>
          <w:color w:val="auto"/>
          <w:kern w:val="2"/>
          <w:sz w:val="32"/>
          <w:szCs w:val="32"/>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综上所述，</w:t>
      </w:r>
      <w:r>
        <w:rPr>
          <w:rFonts w:hint="eastAsia" w:ascii="仿宋_GB2312" w:hAnsi="仿宋_GB2312" w:eastAsia="仿宋_GB2312" w:cs="仿宋_GB2312"/>
          <w:color w:val="auto"/>
          <w:sz w:val="32"/>
          <w:szCs w:val="32"/>
          <w:u w:val="none" w:color="auto"/>
          <w:lang w:val="en-US" w:eastAsia="zh-CN"/>
        </w:rPr>
        <w:t>当事人的行为违反</w:t>
      </w:r>
      <w:r>
        <w:rPr>
          <w:rFonts w:hint="eastAsia" w:ascii="Times New Roman" w:hAnsi="Times New Roman" w:eastAsia="仿宋_GB2312" w:cs="Times New Roman"/>
          <w:color w:val="auto"/>
          <w:sz w:val="32"/>
          <w:szCs w:val="32"/>
          <w:highlight w:val="none"/>
          <w:u w:val="none"/>
          <w:lang w:val="en-US" w:eastAsia="zh-CN"/>
        </w:rPr>
        <w:t>了</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第七十一条</w:t>
      </w:r>
      <w:r>
        <w:rPr>
          <w:rFonts w:hint="eastAsia" w:ascii="仿宋_GB2312" w:hAnsi="仿宋_GB2312" w:eastAsia="仿宋_GB2312" w:cs="仿宋_GB2312"/>
          <w:color w:val="auto"/>
          <w:sz w:val="32"/>
          <w:szCs w:val="32"/>
          <w:u w:val="none" w:color="auto"/>
          <w:lang w:val="en-US" w:eastAsia="zh-CN"/>
        </w:rPr>
        <w:t>的规定，依据</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》第七十一条</w:t>
      </w:r>
      <w:r>
        <w:rPr>
          <w:rFonts w:hint="eastAsia" w:ascii="Times New Roman" w:hAnsi="Times New Roman" w:eastAsia="仿宋_GB2312" w:cs="Times New Roman"/>
          <w:color w:val="auto"/>
          <w:sz w:val="32"/>
          <w:szCs w:val="32"/>
          <w:highlight w:val="none"/>
          <w:u w:val="none"/>
          <w:lang w:val="en-US" w:eastAsia="zh-CN"/>
        </w:rPr>
        <w:t>的</w:t>
      </w:r>
      <w:r>
        <w:rPr>
          <w:rFonts w:hint="eastAsia" w:ascii="仿宋_GB2312" w:hAnsi="仿宋_GB2312" w:eastAsia="仿宋_GB2312" w:cs="仿宋_GB2312"/>
          <w:color w:val="auto"/>
          <w:sz w:val="32"/>
          <w:szCs w:val="32"/>
          <w:u w:val="none" w:color="auto"/>
          <w:lang w:val="en-US" w:eastAsia="zh-CN"/>
        </w:rPr>
        <w:t>规定，</w:t>
      </w:r>
      <w:r>
        <w:rPr>
          <w:rStyle w:val="5"/>
          <w:rFonts w:hint="eastAsia" w:ascii="Times New Roman" w:hAnsi="Times New Roman" w:eastAsia="仿宋_GB2312" w:cs="Times New Roman"/>
          <w:color w:val="auto"/>
          <w:kern w:val="2"/>
          <w:sz w:val="32"/>
          <w:szCs w:val="32"/>
          <w:lang w:val="en-US" w:eastAsia="zh-CN"/>
        </w:rPr>
        <w:t>本机关决定</w:t>
      </w:r>
      <w:r>
        <w:rPr>
          <w:rStyle w:val="5"/>
          <w:rFonts w:hint="default" w:ascii="Times New Roman" w:hAnsi="Times New Roman" w:eastAsia="仿宋_GB2312" w:cs="Times New Roman"/>
          <w:color w:val="auto"/>
          <w:kern w:val="2"/>
          <w:sz w:val="32"/>
          <w:szCs w:val="32"/>
          <w:lang w:val="en-US" w:eastAsia="zh-CN"/>
        </w:rPr>
        <w:t>处罚</w:t>
      </w:r>
      <w:r>
        <w:rPr>
          <w:rStyle w:val="5"/>
          <w:rFonts w:hint="eastAsia" w:ascii="Times New Roman" w:hAnsi="Times New Roman" w:eastAsia="仿宋_GB2312" w:cs="Times New Roman"/>
          <w:color w:val="auto"/>
          <w:kern w:val="2"/>
          <w:sz w:val="32"/>
          <w:szCs w:val="32"/>
          <w:lang w:val="en-US" w:eastAsia="zh-CN"/>
        </w:rPr>
        <w:t>如下</w:t>
      </w:r>
      <w:r>
        <w:rPr>
          <w:rStyle w:val="5"/>
          <w:rFonts w:hint="default" w:ascii="Times New Roman" w:hAnsi="Times New Roman" w:eastAsia="仿宋_GB2312" w:cs="Times New Roman"/>
          <w:color w:val="auto"/>
          <w:kern w:val="2"/>
          <w:sz w:val="32"/>
          <w:szCs w:val="32"/>
          <w:lang w:val="en-US" w:eastAsia="zh-CN"/>
        </w:rPr>
        <w:t>：</w:t>
      </w:r>
    </w:p>
    <w:p w14:paraId="5908F712">
      <w:pPr>
        <w:keepNext w:val="0"/>
        <w:keepLines w:val="0"/>
        <w:pageBreakBefore w:val="0"/>
        <w:widowControl w:val="0"/>
        <w:kinsoku/>
        <w:wordWrap/>
        <w:overflowPunct w:val="0"/>
        <w:autoSpaceDE w:val="0"/>
        <w:bidi w:val="0"/>
        <w:spacing w:line="560" w:lineRule="exact"/>
        <w:ind w:left="0"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Cs/>
          <w:color w:val="auto"/>
          <w:sz w:val="32"/>
          <w:szCs w:val="32"/>
          <w:highlight w:val="none"/>
          <w:lang w:val="en-US" w:eastAsia="zh-CN"/>
        </w:rPr>
        <w:t>吊销</w:t>
      </w:r>
      <w:r>
        <w:rPr>
          <w:rFonts w:hint="eastAsia" w:ascii="仿宋_GB2312" w:hAnsi="仿宋_GB2312" w:eastAsia="仿宋_GB2312" w:cs="仿宋_GB2312"/>
          <w:color w:val="auto"/>
          <w:spacing w:val="-6"/>
          <w:sz w:val="32"/>
          <w:szCs w:val="32"/>
          <w:highlight w:val="none"/>
          <w:u w:val="none"/>
          <w:lang w:val="en-US" w:eastAsia="zh-CN"/>
        </w:rPr>
        <w:t>昆玉市腾云养殖专业合作社</w:t>
      </w:r>
      <w:r>
        <w:rPr>
          <w:rFonts w:hint="eastAsia" w:ascii="仿宋_GB2312" w:hAnsi="仿宋_GB2312" w:eastAsia="仿宋_GB2312" w:cs="仿宋_GB2312"/>
          <w:color w:val="auto"/>
          <w:w w:val="98"/>
          <w:sz w:val="32"/>
          <w:szCs w:val="32"/>
          <w:highlight w:val="none"/>
          <w:u w:val="none"/>
          <w:lang w:val="en-US" w:eastAsia="zh-CN"/>
        </w:rPr>
        <w:t>（统一社会信用代码：</w:t>
      </w:r>
      <w:r>
        <w:rPr>
          <w:rFonts w:hint="eastAsia" w:ascii="仿宋_GB2312" w:hAnsi="仿宋_GB2312" w:eastAsia="仿宋_GB2312" w:cs="仿宋_GB2312"/>
          <w:color w:val="auto"/>
          <w:spacing w:val="-6"/>
          <w:sz w:val="32"/>
          <w:szCs w:val="32"/>
          <w:highlight w:val="none"/>
          <w:u w:val="none"/>
          <w:lang w:val="en-US" w:eastAsia="zh-CN"/>
        </w:rPr>
        <w:t>93659009MA78QHUG73</w:t>
      </w:r>
      <w:r>
        <w:rPr>
          <w:rFonts w:hint="eastAsia" w:ascii="仿宋_GB2312" w:hAnsi="仿宋_GB2312" w:eastAsia="仿宋_GB2312" w:cs="仿宋_GB2312"/>
          <w:color w:val="auto"/>
          <w:w w:val="98"/>
          <w:sz w:val="32"/>
          <w:szCs w:val="32"/>
          <w:highlight w:val="none"/>
          <w:u w:val="none"/>
          <w:lang w:val="en-US" w:eastAsia="zh-CN"/>
        </w:rPr>
        <w:t>）的营业执照。</w:t>
      </w:r>
    </w:p>
    <w:p w14:paraId="56DF2AE3">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afterAutospacing="0" w:line="560" w:lineRule="exact"/>
        <w:ind w:right="0" w:rightChars="0" w:firstLine="640"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如当事人不服本</w:t>
      </w:r>
      <w:r>
        <w:rPr>
          <w:rFonts w:hint="eastAsia" w:ascii="Times New Roman" w:hAnsi="Times New Roman" w:eastAsia="仿宋_GB2312" w:cs="Times New Roman"/>
          <w:color w:val="auto"/>
          <w:w w:val="98"/>
          <w:sz w:val="32"/>
          <w:szCs w:val="32"/>
          <w:u w:val="none"/>
          <w:lang w:val="en-US" w:eastAsia="zh-CN" w:bidi="ar-SA"/>
        </w:rPr>
        <w:t>行政处罚决定</w:t>
      </w:r>
      <w:r>
        <w:rPr>
          <w:rFonts w:hint="eastAsia" w:ascii="仿宋_GB2312" w:hAnsi="仿宋_GB2312" w:eastAsia="仿宋_GB2312" w:cs="仿宋_GB2312"/>
          <w:color w:val="auto"/>
          <w:sz w:val="32"/>
          <w:szCs w:val="32"/>
          <w:highlight w:val="none"/>
          <w:lang w:val="en-US" w:eastAsia="zh-CN"/>
        </w:rPr>
        <w:t>，可在收到本决定书之日起</w:t>
      </w:r>
      <w:r>
        <w:rPr>
          <w:rFonts w:hint="eastAsia" w:ascii="仿宋_GB2312" w:hAnsi="仿宋_GB2312" w:eastAsia="仿宋_GB2312" w:cs="仿宋_GB2312"/>
          <w:color w:val="auto"/>
          <w:sz w:val="32"/>
          <w:szCs w:val="32"/>
          <w:highlight w:val="none"/>
          <w:u w:val="single"/>
          <w:lang w:val="en-US" w:eastAsia="zh-CN"/>
        </w:rPr>
        <w:t>六十日</w:t>
      </w:r>
      <w:r>
        <w:rPr>
          <w:rFonts w:hint="eastAsia" w:ascii="仿宋_GB2312" w:hAnsi="仿宋_GB2312" w:eastAsia="仿宋_GB2312" w:cs="仿宋_GB2312"/>
          <w:color w:val="auto"/>
          <w:sz w:val="32"/>
          <w:szCs w:val="32"/>
          <w:highlight w:val="none"/>
          <w:lang w:val="en-US" w:eastAsia="zh-CN"/>
        </w:rPr>
        <w:t>内向</w:t>
      </w:r>
      <w:r>
        <w:rPr>
          <w:rFonts w:hint="eastAsia" w:ascii="仿宋_GB2312" w:hAnsi="仿宋_GB2312" w:eastAsia="仿宋_GB2312" w:cs="仿宋_GB2312"/>
          <w:color w:val="auto"/>
          <w:sz w:val="32"/>
          <w:szCs w:val="32"/>
          <w:highlight w:val="none"/>
          <w:u w:val="single"/>
          <w:lang w:val="en-US" w:eastAsia="zh-CN"/>
        </w:rPr>
        <w:t>第十四师</w:t>
      </w:r>
      <w:r>
        <w:rPr>
          <w:rFonts w:hint="eastAsia" w:ascii="仿宋_GB2312" w:hAnsi="仿宋_GB2312" w:eastAsia="仿宋_GB2312" w:cs="仿宋_GB2312"/>
          <w:color w:val="auto"/>
          <w:sz w:val="32"/>
          <w:szCs w:val="32"/>
          <w:highlight w:val="none"/>
          <w:lang w:val="en-US" w:eastAsia="zh-CN"/>
        </w:rPr>
        <w:t>申请行政复议，也可以在</w:t>
      </w:r>
      <w:r>
        <w:rPr>
          <w:rFonts w:hint="eastAsia" w:ascii="仿宋_GB2312" w:hAnsi="仿宋_GB2312" w:eastAsia="仿宋_GB2312" w:cs="仿宋_GB2312"/>
          <w:color w:val="auto"/>
          <w:sz w:val="32"/>
          <w:szCs w:val="32"/>
          <w:highlight w:val="none"/>
          <w:u w:val="single"/>
          <w:lang w:val="en-US" w:eastAsia="zh-CN"/>
        </w:rPr>
        <w:t>六个月</w:t>
      </w:r>
      <w:r>
        <w:rPr>
          <w:rFonts w:hint="eastAsia" w:ascii="仿宋_GB2312" w:hAnsi="仿宋_GB2312" w:eastAsia="仿宋_GB2312" w:cs="仿宋_GB2312"/>
          <w:color w:val="auto"/>
          <w:sz w:val="32"/>
          <w:szCs w:val="32"/>
          <w:highlight w:val="none"/>
          <w:lang w:val="en-US" w:eastAsia="zh-CN"/>
        </w:rPr>
        <w:t>内依法向</w:t>
      </w:r>
      <w:r>
        <w:rPr>
          <w:rFonts w:hint="eastAsia" w:ascii="仿宋_GB2312" w:hAnsi="仿宋_GB2312" w:eastAsia="仿宋_GB2312" w:cs="仿宋_GB2312"/>
          <w:color w:val="auto"/>
          <w:sz w:val="32"/>
          <w:szCs w:val="32"/>
          <w:highlight w:val="none"/>
          <w:u w:val="single"/>
          <w:lang w:val="en-US" w:eastAsia="zh-CN"/>
        </w:rPr>
        <w:t>新疆生产建设兵团和田垦区人民法院</w:t>
      </w:r>
      <w:r>
        <w:rPr>
          <w:rFonts w:hint="eastAsia" w:ascii="仿宋_GB2312" w:hAnsi="仿宋_GB2312" w:eastAsia="仿宋_GB2312" w:cs="仿宋_GB2312"/>
          <w:color w:val="auto"/>
          <w:sz w:val="32"/>
          <w:szCs w:val="32"/>
          <w:highlight w:val="none"/>
          <w:lang w:val="en-US" w:eastAsia="zh-CN"/>
        </w:rPr>
        <w:t xml:space="preserve">提起行政诉讼。复议和诉讼期间，行政处罚不停止执行。 </w:t>
      </w:r>
    </w:p>
    <w:p w14:paraId="2DF0AEA4">
      <w:pPr>
        <w:keepNext w:val="0"/>
        <w:keepLines w:val="0"/>
        <w:pageBreakBefore w:val="0"/>
        <w:kinsoku/>
        <w:wordWrap/>
        <w:overflowPunct/>
        <w:topLinePunct w:val="0"/>
        <w:bidi w:val="0"/>
        <w:spacing w:line="560" w:lineRule="exact"/>
        <w:ind w:right="640" w:firstLine="601"/>
        <w:jc w:val="righ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highlight w:val="none"/>
        </w:rPr>
        <w:t>第十四师市场监督管理局</w:t>
      </w:r>
      <w:bookmarkEnd w:id="4"/>
      <w:r>
        <w:rPr>
          <w:rFonts w:hint="eastAsia" w:ascii="仿宋_GB2312" w:hAnsi="仿宋_GB2312" w:eastAsia="仿宋_GB2312" w:cs="仿宋_GB2312"/>
          <w:color w:val="auto"/>
          <w:sz w:val="32"/>
          <w:szCs w:val="32"/>
          <w:highlight w:val="none"/>
        </w:rPr>
        <w:t xml:space="preserve">    </w:t>
      </w:r>
    </w:p>
    <w:p w14:paraId="1F1350A8">
      <w:pPr>
        <w:keepNext w:val="0"/>
        <w:keepLines w:val="0"/>
        <w:pageBreakBefore w:val="0"/>
        <w:kinsoku/>
        <w:wordWrap/>
        <w:overflowPunct/>
        <w:topLinePunct w:val="0"/>
        <w:bidi w:val="0"/>
        <w:spacing w:line="560" w:lineRule="exact"/>
        <w:ind w:right="640" w:firstLine="601"/>
        <w:jc w:val="center"/>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（印 章）</w:t>
      </w:r>
    </w:p>
    <w:p w14:paraId="371F55F2">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center"/>
        <w:textAlignment w:val="auto"/>
        <w:outlineLvl w:val="9"/>
        <w:rPr>
          <w:rFonts w:hint="eastAsia" w:ascii="黑体" w:hAnsi="黑体" w:eastAsia="黑体"/>
          <w:color w:val="auto"/>
          <w:spacing w:val="-16"/>
          <w:highlight w:val="none"/>
        </w:rPr>
      </w:pPr>
      <w:bookmarkStart w:id="5" w:name="CALCULATE—TIME—NOW"/>
      <w:r>
        <w:rPr>
          <w:rFonts w:hint="eastAsia" w:ascii="仿宋_GB2312" w:hAnsi="仿宋_GB2312" w:eastAsia="仿宋_GB2312" w:cs="仿宋_GB2312"/>
          <w:color w:val="auto"/>
          <w:sz w:val="32"/>
          <w:highlight w:val="none"/>
          <w:lang w:val="en-US" w:eastAsia="zh-CN"/>
        </w:rPr>
        <w:t xml:space="preserve">                        </w:t>
      </w:r>
      <w:r>
        <w:rPr>
          <w:rFonts w:hint="eastAsia" w:ascii="仿宋_GB2312" w:hAnsi="仿宋_GB2312" w:eastAsia="仿宋_GB2312" w:cs="仿宋_GB2312"/>
          <w:color w:val="auto"/>
          <w:sz w:val="32"/>
          <w:highlight w:val="none"/>
        </w:rPr>
        <w:t>202</w:t>
      </w:r>
      <w:r>
        <w:rPr>
          <w:rFonts w:hint="eastAsia" w:ascii="仿宋_GB2312" w:hAnsi="仿宋_GB2312" w:eastAsia="仿宋_GB2312" w:cs="仿宋_GB2312"/>
          <w:color w:val="auto"/>
          <w:sz w:val="32"/>
          <w:highlight w:val="none"/>
          <w:lang w:val="en-US" w:eastAsia="zh-CN"/>
        </w:rPr>
        <w:t>5</w:t>
      </w:r>
      <w:r>
        <w:rPr>
          <w:rFonts w:hint="eastAsia" w:ascii="仿宋_GB2312" w:hAnsi="仿宋_GB2312" w:eastAsia="仿宋_GB2312" w:cs="仿宋_GB2312"/>
          <w:color w:val="auto"/>
          <w:sz w:val="32"/>
          <w:highlight w:val="none"/>
        </w:rPr>
        <w:t>年</w:t>
      </w:r>
      <w:r>
        <w:rPr>
          <w:rFonts w:hint="eastAsia" w:ascii="仿宋_GB2312" w:hAnsi="仿宋_GB2312" w:eastAsia="仿宋_GB2312" w:cs="仿宋_GB2312"/>
          <w:color w:val="auto"/>
          <w:sz w:val="32"/>
          <w:highlight w:val="none"/>
          <w:lang w:val="en-US" w:eastAsia="zh-CN"/>
        </w:rPr>
        <w:t>6</w:t>
      </w:r>
      <w:r>
        <w:rPr>
          <w:rFonts w:hint="eastAsia" w:ascii="仿宋_GB2312" w:hAnsi="仿宋_GB2312" w:eastAsia="仿宋_GB2312" w:cs="仿宋_GB2312"/>
          <w:color w:val="auto"/>
          <w:sz w:val="32"/>
          <w:highlight w:val="none"/>
        </w:rPr>
        <w:t>月</w:t>
      </w:r>
      <w:r>
        <w:rPr>
          <w:rFonts w:hint="eastAsia" w:ascii="仿宋_GB2312" w:hAnsi="仿宋_GB2312" w:eastAsia="仿宋_GB2312" w:cs="仿宋_GB2312"/>
          <w:color w:val="auto"/>
          <w:sz w:val="32"/>
          <w:highlight w:val="none"/>
          <w:lang w:val="en-US" w:eastAsia="zh-CN"/>
        </w:rPr>
        <w:t>9</w:t>
      </w:r>
      <w:r>
        <w:rPr>
          <w:rFonts w:hint="eastAsia" w:ascii="仿宋_GB2312" w:hAnsi="仿宋_GB2312" w:eastAsia="仿宋_GB2312" w:cs="仿宋_GB2312"/>
          <w:color w:val="auto"/>
          <w:sz w:val="32"/>
          <w:highlight w:val="none"/>
        </w:rPr>
        <w:t>日</w:t>
      </w:r>
      <w:bookmarkEnd w:id="5"/>
      <w:r>
        <w:rPr>
          <w:rFonts w:hint="eastAsia" w:ascii="仿宋_GB2312" w:hAnsi="仿宋_GB2312" w:eastAsia="仿宋_GB2312" w:cs="仿宋_GB2312"/>
          <w:color w:val="auto"/>
          <w:sz w:val="32"/>
          <w:szCs w:val="32"/>
          <w:highlight w:val="non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auto"/>
    <w:pitch w:val="default"/>
    <w:sig w:usb0="00000000" w:usb1="00000000" w:usb2="0000007F" w:usb3="00000000" w:csb0="203F01FF" w:csb1="DFFF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ongolian Baiti">
    <w:panose1 w:val="03000500000000000000"/>
    <w:charset w:val="00"/>
    <w:family w:val="script"/>
    <w:pitch w:val="default"/>
    <w:sig w:usb0="80000023" w:usb1="00000000" w:usb2="00020000" w:usb3="00000000" w:csb0="0000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55009F"/>
    <w:rsid w:val="0855009F"/>
    <w:rsid w:val="38794E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character" w:customStyle="1" w:styleId="5">
    <w:name w:val="NormalCharacter"/>
    <w:link w:val="1"/>
    <w:semiHidden/>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3948</Words>
  <Characters>4517</Characters>
  <Lines>0</Lines>
  <Paragraphs>0</Paragraphs>
  <TotalTime>2</TotalTime>
  <ScaleCrop>false</ScaleCrop>
  <LinksUpToDate>false</LinksUpToDate>
  <CharactersWithSpaces>6889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2025-06-13T11:18:00Z</dcterms:created>
  <dc:creator>Danica</dc:creator>
  <cp:lastModifiedBy>十四师政务网</cp:lastModifiedBy>
  <dcterms:modified xsi:type="dcterms:W3CDTF">2025-06-16T02:36:28Z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5528321718154C6E9DF9C39E26746CD0_11</vt:lpwstr>
  </property>
  <property fmtid="{D5CDD505-2E9C-101B-9397-08002B2CF9AE}" pid="4" name="KSOTemplateDocerSaveRecord">
    <vt:lpwstr>eyJoZGlkIjoiZGY1N2JjMTMzZjk3NDRlMzdhMGUxNmJiNjkwZGFmMTkiLCJ1c2VySWQiOiIxNjU2NTU0MjE4In0=</vt:lpwstr>
  </property>
</Properties>
</file>