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A27BB">
      <w:pPr>
        <w:rPr>
          <w:rFonts w:hint="default" w:ascii="Times New Roman" w:hAnsi="Times New Roman" w:cs="Times New Roman"/>
          <w:sz w:val="32"/>
          <w:szCs w:val="32"/>
          <w:lang w:eastAsia="zh-CN"/>
        </w:rPr>
      </w:pPr>
    </w:p>
    <w:p w14:paraId="3CC1EADF">
      <w:pPr>
        <w:rPr>
          <w:rFonts w:hint="default" w:ascii="Times New Roman" w:hAnsi="Times New Roman" w:cs="Times New Roman"/>
          <w:sz w:val="32"/>
          <w:szCs w:val="32"/>
          <w:lang w:eastAsia="zh-CN"/>
        </w:rPr>
      </w:pPr>
    </w:p>
    <w:p w14:paraId="4C213AC7">
      <w:pPr>
        <w:widowControl w:val="0"/>
        <w:kinsoku/>
        <w:autoSpaceDE/>
        <w:autoSpaceDN/>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师市水利局关于</w:t>
      </w:r>
      <w:r>
        <w:rPr>
          <w:rFonts w:hint="eastAsia" w:ascii="方正小标宋简体" w:hAnsi="方正小标宋简体" w:eastAsia="方正小标宋简体" w:cs="方正小标宋简体"/>
          <w:snapToGrid/>
          <w:kern w:val="2"/>
          <w:sz w:val="44"/>
          <w:szCs w:val="44"/>
          <w:lang w:eastAsia="zh-CN"/>
        </w:rPr>
        <w:t>落实第二轮中央生态环</w:t>
      </w:r>
      <w:r>
        <w:rPr>
          <w:rFonts w:hint="eastAsia" w:ascii="方正小标宋简体" w:hAnsi="方正小标宋简体" w:eastAsia="方正小标宋简体" w:cs="方正小标宋简体"/>
          <w:snapToGrid/>
          <w:kern w:val="2"/>
          <w:sz w:val="44"/>
          <w:szCs w:val="44"/>
          <w:lang w:val="en-US" w:eastAsia="zh-CN"/>
        </w:rPr>
        <w:t>境</w:t>
      </w:r>
      <w:r>
        <w:rPr>
          <w:rFonts w:hint="eastAsia" w:ascii="方正小标宋简体" w:hAnsi="方正小标宋简体" w:eastAsia="方正小标宋简体" w:cs="方正小标宋简体"/>
          <w:snapToGrid/>
          <w:kern w:val="2"/>
          <w:sz w:val="44"/>
          <w:szCs w:val="44"/>
          <w:lang w:eastAsia="zh-CN"/>
        </w:rPr>
        <w:t>保护督察反馈意见（</w:t>
      </w:r>
      <w:bookmarkStart w:id="0" w:name="_GoBack"/>
      <w:r>
        <w:rPr>
          <w:rFonts w:hint="eastAsia" w:ascii="方正小标宋简体" w:hAnsi="方正小标宋简体" w:eastAsia="方正小标宋简体" w:cs="方正小标宋简体"/>
          <w:snapToGrid/>
          <w:kern w:val="2"/>
          <w:sz w:val="44"/>
          <w:szCs w:val="44"/>
          <w:lang w:val="en-US" w:eastAsia="zh-CN"/>
        </w:rPr>
        <w:t>问题四</w:t>
      </w:r>
      <w:bookmarkEnd w:id="0"/>
      <w:r>
        <w:rPr>
          <w:rFonts w:hint="eastAsia" w:ascii="方正小标宋简体" w:hAnsi="方正小标宋简体" w:eastAsia="方正小标宋简体" w:cs="方正小标宋简体"/>
          <w:snapToGrid/>
          <w:kern w:val="2"/>
          <w:sz w:val="44"/>
          <w:szCs w:val="44"/>
          <w:lang w:val="en-US" w:eastAsia="zh-CN"/>
        </w:rPr>
        <w:t>）</w:t>
      </w:r>
      <w:r>
        <w:rPr>
          <w:rFonts w:hint="eastAsia" w:ascii="方正小标宋简体" w:hAnsi="方正小标宋简体" w:eastAsia="方正小标宋简体" w:cs="方正小标宋简体"/>
          <w:sz w:val="44"/>
          <w:szCs w:val="44"/>
          <w:lang w:val="en-US" w:eastAsia="zh-CN"/>
        </w:rPr>
        <w:t>整改完成</w:t>
      </w:r>
    </w:p>
    <w:p w14:paraId="007292E7">
      <w:pPr>
        <w:ind w:left="0" w:leftChars="0" w:firstLine="0" w:firstLineChars="0"/>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情况的公示</w:t>
      </w:r>
    </w:p>
    <w:p w14:paraId="0F72977B">
      <w:pPr>
        <w:ind w:left="0" w:leftChars="0" w:firstLine="0" w:firstLineChars="0"/>
        <w:jc w:val="center"/>
        <w:rPr>
          <w:rFonts w:hint="eastAsia" w:ascii="方正小标宋简体" w:hAnsi="方正小标宋简体" w:eastAsia="方正小标宋简体" w:cs="方正小标宋简体"/>
          <w:sz w:val="44"/>
          <w:szCs w:val="44"/>
          <w:lang w:val="en-US" w:eastAsia="zh-CN"/>
        </w:rPr>
      </w:pPr>
    </w:p>
    <w:p w14:paraId="7AB4A877">
      <w:pPr>
        <w:ind w:left="0" w:leftChars="0" w:firstLine="640" w:firstLineChars="20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根据《</w:t>
      </w:r>
      <w:r>
        <w:rPr>
          <w:rFonts w:hint="eastAsia" w:cs="Times New Roman"/>
          <w:sz w:val="32"/>
          <w:szCs w:val="32"/>
          <w:lang w:val="en-US" w:eastAsia="zh-CN"/>
        </w:rPr>
        <w:t>第十四师昆玉市贯彻落实</w:t>
      </w:r>
      <w:r>
        <w:rPr>
          <w:rFonts w:hint="eastAsia" w:ascii="Times New Roman" w:hAnsi="Times New Roman" w:cs="Times New Roman"/>
          <w:sz w:val="32"/>
          <w:szCs w:val="32"/>
          <w:lang w:val="en-US" w:eastAsia="zh-CN"/>
        </w:rPr>
        <w:t>第二轮中央生态环境保护督察</w:t>
      </w:r>
      <w:r>
        <w:rPr>
          <w:rFonts w:hint="eastAsia" w:cs="Times New Roman"/>
          <w:sz w:val="32"/>
          <w:szCs w:val="32"/>
          <w:lang w:val="en-US" w:eastAsia="zh-CN"/>
        </w:rPr>
        <w:t>报告整改方案</w:t>
      </w:r>
      <w:r>
        <w:rPr>
          <w:rFonts w:hint="default" w:ascii="Times New Roman" w:hAnsi="Times New Roman" w:cs="Times New Roman"/>
          <w:sz w:val="32"/>
          <w:szCs w:val="32"/>
          <w:lang w:val="en-US" w:eastAsia="zh-CN"/>
        </w:rPr>
        <w:t>》，</w:t>
      </w:r>
      <w:r>
        <w:rPr>
          <w:rFonts w:hint="eastAsia" w:ascii="Times New Roman" w:hAnsi="Times New Roman" w:cs="Times New Roman"/>
          <w:sz w:val="32"/>
          <w:szCs w:val="32"/>
          <w:lang w:val="en-US" w:eastAsia="zh-CN"/>
        </w:rPr>
        <w:t>第二轮中央生态环境保护督察反馈意见（问题四</w:t>
      </w:r>
      <w:r>
        <w:rPr>
          <w:rFonts w:hint="eastAsia" w:cs="Times New Roman"/>
          <w:sz w:val="32"/>
          <w:szCs w:val="32"/>
          <w:lang w:val="en-US" w:eastAsia="zh-CN"/>
        </w:rPr>
        <w:t>）</w:t>
      </w:r>
      <w:r>
        <w:rPr>
          <w:rFonts w:hint="default" w:ascii="Times New Roman" w:hAnsi="Times New Roman" w:cs="Times New Roman"/>
          <w:sz w:val="32"/>
          <w:szCs w:val="32"/>
          <w:lang w:val="en-US" w:eastAsia="zh-CN"/>
        </w:rPr>
        <w:t>已完成整改，现将具体情况予以公示：</w:t>
      </w:r>
    </w:p>
    <w:p w14:paraId="279128EB">
      <w:pPr>
        <w:ind w:left="0" w:leftChars="0" w:firstLine="0" w:firstLineChars="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w:t>
      </w:r>
      <w:r>
        <w:rPr>
          <w:rFonts w:hint="default" w:ascii="Times New Roman" w:hAnsi="Times New Roman" w:eastAsia="方正小标宋简体" w:cs="Times New Roman"/>
          <w:sz w:val="32"/>
          <w:szCs w:val="32"/>
          <w:lang w:val="en-US" w:eastAsia="zh-CN"/>
        </w:rPr>
        <w:t>一、整改任务</w:t>
      </w:r>
    </w:p>
    <w:p w14:paraId="667A9BA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snapToGrid/>
          <w:kern w:val="2"/>
          <w:sz w:val="32"/>
          <w:szCs w:val="32"/>
          <w:lang w:val="en-US" w:eastAsia="zh-CN"/>
        </w:rPr>
        <w:t>问题四：</w:t>
      </w:r>
      <w:r>
        <w:rPr>
          <w:rFonts w:hint="default" w:ascii="Times New Roman" w:hAnsi="Times New Roman" w:eastAsia="仿宋_GB2312" w:cs="Times New Roman"/>
          <w:snapToGrid/>
          <w:kern w:val="2"/>
          <w:sz w:val="32"/>
          <w:szCs w:val="32"/>
          <w:lang w:val="en-US" w:eastAsia="en-US"/>
        </w:rPr>
        <w:t>督察发现，一些师、团水资源过度开发问题突出，地下水超采问题严重。</w:t>
      </w:r>
    </w:p>
    <w:p w14:paraId="4B04524F">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default" w:ascii="Times New Roman" w:hAnsi="Times New Roman" w:eastAsia="方正小标宋简体" w:cs="Times New Roman"/>
          <w:b w:val="0"/>
          <w:bCs w:val="0"/>
          <w:color w:val="auto"/>
          <w:sz w:val="32"/>
          <w:szCs w:val="32"/>
          <w:lang w:val="en-US" w:eastAsia="zh-CN"/>
        </w:rPr>
      </w:pPr>
      <w:r>
        <w:rPr>
          <w:rFonts w:hint="default" w:ascii="Times New Roman" w:hAnsi="Times New Roman" w:eastAsia="方正小标宋简体" w:cs="Times New Roman"/>
          <w:b w:val="0"/>
          <w:bCs w:val="0"/>
          <w:color w:val="auto"/>
          <w:sz w:val="32"/>
          <w:szCs w:val="32"/>
          <w:lang w:val="en-US" w:eastAsia="zh-CN"/>
        </w:rPr>
        <w:t>整改时限</w:t>
      </w:r>
    </w:p>
    <w:p w14:paraId="24BF917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val="0"/>
          <w:bCs w:val="0"/>
          <w:color w:val="auto"/>
          <w:sz w:val="32"/>
          <w:szCs w:val="32"/>
          <w:lang w:val="en-US" w:eastAsia="zh-CN"/>
        </w:rPr>
        <w:t>2025年12月31日前</w:t>
      </w:r>
    </w:p>
    <w:p w14:paraId="6055FAC5">
      <w:pPr>
        <w:numPr>
          <w:ilvl w:val="0"/>
          <w:numId w:val="1"/>
        </w:numPr>
        <w:ind w:left="0" w:leftChars="0" w:firstLine="640" w:firstLineChars="200"/>
        <w:jc w:val="both"/>
        <w:rPr>
          <w:rFonts w:hint="default" w:ascii="Times New Roman" w:hAnsi="Times New Roman" w:eastAsia="方正小标宋简体" w:cs="Times New Roman"/>
          <w:sz w:val="32"/>
          <w:szCs w:val="32"/>
          <w:lang w:val="en-US" w:eastAsia="zh-CN"/>
        </w:rPr>
      </w:pPr>
      <w:r>
        <w:rPr>
          <w:rFonts w:hint="default" w:ascii="Times New Roman" w:hAnsi="Times New Roman" w:eastAsia="方正小标宋简体" w:cs="Times New Roman"/>
          <w:sz w:val="32"/>
          <w:szCs w:val="32"/>
          <w:lang w:val="en-US" w:eastAsia="zh-CN"/>
        </w:rPr>
        <w:t>整改目标</w:t>
      </w:r>
    </w:p>
    <w:p w14:paraId="01206FED">
      <w:pPr>
        <w:widowControl w:val="0"/>
        <w:kinsoku/>
        <w:autoSpaceDE/>
        <w:autoSpaceDN/>
        <w:adjustRightInd/>
        <w:snapToGrid/>
        <w:spacing w:line="600" w:lineRule="exact"/>
        <w:ind w:left="0" w:leftChars="0" w:firstLine="640" w:firstLineChars="200"/>
        <w:jc w:val="both"/>
        <w:textAlignment w:val="auto"/>
        <w:rPr>
          <w:rFonts w:hint="default" w:ascii="Times New Roman" w:hAnsi="Times New Roman" w:eastAsia="方正小标宋简体" w:cs="Times New Roman"/>
          <w:sz w:val="32"/>
          <w:szCs w:val="32"/>
          <w:lang w:val="en-US" w:eastAsia="zh-CN"/>
        </w:rPr>
      </w:pPr>
      <w:r>
        <w:rPr>
          <w:rFonts w:hint="default" w:ascii="Times New Roman" w:hAnsi="Times New Roman" w:eastAsia="仿宋_GB2312" w:cs="Times New Roman"/>
          <w:snapToGrid/>
          <w:kern w:val="2"/>
          <w:sz w:val="32"/>
          <w:szCs w:val="32"/>
          <w:lang w:val="en-US" w:eastAsia="en-US"/>
        </w:rPr>
        <w:t>每年均严格按照自治区或兵团关于地下水管控政策要求管控地下水，并将地下水开采量控制在自治区或兵团下达的地下水年度计划控制指标范围以内。</w:t>
      </w:r>
    </w:p>
    <w:p w14:paraId="5157331B">
      <w:pPr>
        <w:numPr>
          <w:ilvl w:val="0"/>
          <w:numId w:val="1"/>
        </w:numPr>
        <w:ind w:left="0" w:leftChars="0" w:firstLine="640" w:firstLineChars="200"/>
        <w:jc w:val="both"/>
        <w:rPr>
          <w:rFonts w:hint="default" w:ascii="Times New Roman" w:hAnsi="Times New Roman" w:eastAsia="方正小标宋简体" w:cs="Times New Roman"/>
          <w:sz w:val="32"/>
          <w:szCs w:val="32"/>
          <w:lang w:val="en-US" w:eastAsia="zh-CN"/>
        </w:rPr>
      </w:pPr>
      <w:r>
        <w:rPr>
          <w:rFonts w:hint="default" w:ascii="Times New Roman" w:hAnsi="Times New Roman" w:eastAsia="方正小标宋简体" w:cs="Times New Roman"/>
          <w:sz w:val="32"/>
          <w:szCs w:val="32"/>
          <w:lang w:val="en-US" w:eastAsia="zh-CN"/>
        </w:rPr>
        <w:t>整改措施完成</w:t>
      </w:r>
    </w:p>
    <w:p w14:paraId="4795898B">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整改措施一：</w:t>
      </w:r>
      <w:r>
        <w:rPr>
          <w:rFonts w:hint="default" w:ascii="Times New Roman" w:hAnsi="Times New Roman" w:eastAsia="仿宋_GB2312" w:cs="Times New Roman"/>
          <w:snapToGrid/>
          <w:kern w:val="2"/>
          <w:sz w:val="32"/>
          <w:szCs w:val="32"/>
          <w:lang w:val="en-US" w:eastAsia="zh-CN"/>
        </w:rPr>
        <w:t>严格用水总量管控。把水资源作为最大的 刚性约束，优先</w:t>
      </w:r>
      <w:r>
        <w:rPr>
          <w:rFonts w:hint="eastAsia" w:ascii="Times New Roman" w:hAnsi="Times New Roman" w:eastAsia="仿宋_GB2312" w:cs="Times New Roman"/>
          <w:snapToGrid/>
          <w:kern w:val="2"/>
          <w:sz w:val="32"/>
          <w:szCs w:val="32"/>
          <w:lang w:val="en-US" w:eastAsia="zh-CN"/>
        </w:rPr>
        <w:t>保障</w:t>
      </w:r>
      <w:r>
        <w:rPr>
          <w:rFonts w:hint="default" w:ascii="Times New Roman" w:hAnsi="Times New Roman" w:eastAsia="仿宋_GB2312" w:cs="Times New Roman"/>
          <w:snapToGrid/>
          <w:kern w:val="2"/>
          <w:sz w:val="32"/>
          <w:szCs w:val="32"/>
          <w:lang w:val="en-US" w:eastAsia="zh-CN"/>
        </w:rPr>
        <w:t>城乡居民生活用水，优化配置生产经营用水，保障基本生态用水，严格区域用水总量红线管理。加强对已批复用水总量控制方案的实施监管，坚决抑制不合理用水需求，做到以水定需、空间均衡，推动生态保护和高质量发展 。</w:t>
      </w:r>
    </w:p>
    <w:p w14:paraId="7C4E4ADD">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w:t>
      </w:r>
      <w:r>
        <w:rPr>
          <w:rFonts w:hint="default"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一是</w:t>
      </w:r>
      <w:r>
        <w:rPr>
          <w:rFonts w:hint="default" w:ascii="Times New Roman" w:hAnsi="Times New Roman" w:eastAsia="仿宋_GB2312" w:cs="Times New Roman"/>
          <w:snapToGrid/>
          <w:kern w:val="2"/>
          <w:sz w:val="32"/>
          <w:szCs w:val="32"/>
          <w:lang w:val="en-US" w:eastAsia="zh-CN"/>
        </w:rPr>
        <w:t>制定《第十四师实行最严格水资源管理制度考核领导小组》和《第十四师昆玉市实行最严格水资源管理制度考核办法</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试行</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二是</w:t>
      </w:r>
      <w:r>
        <w:rPr>
          <w:rFonts w:hint="default" w:ascii="Times New Roman" w:hAnsi="Times New Roman" w:eastAsia="仿宋_GB2312" w:cs="Times New Roman"/>
          <w:snapToGrid/>
          <w:kern w:val="2"/>
          <w:sz w:val="32"/>
          <w:szCs w:val="32"/>
          <w:lang w:val="en-US" w:eastAsia="zh-CN"/>
        </w:rPr>
        <w:t>严格按照2023</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2025年自治区每年向师市下达的地下水年度计划控制指标完成团场水资源管理年度绩效考核工作，并向师市党委绩效考核领导小组汇报绩效考核结果，将团场地下水管理工作绩效考核成绩纳入团场领导班子综合考核体系。</w:t>
      </w:r>
    </w:p>
    <w:p w14:paraId="334F6F8E">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整改措施二：</w:t>
      </w:r>
      <w:r>
        <w:rPr>
          <w:rFonts w:hint="default" w:ascii="Times New Roman" w:hAnsi="Times New Roman" w:eastAsia="仿宋_GB2312" w:cs="Times New Roman"/>
          <w:snapToGrid/>
          <w:kern w:val="2"/>
          <w:sz w:val="32"/>
          <w:szCs w:val="32"/>
          <w:lang w:val="en-US" w:eastAsia="zh-CN"/>
        </w:rPr>
        <w:t>严格取水许可审批。积极向自治区水利厅和兵团水利局争取开通和应用取水许可电子证照系统，严格取水许可审批制度。加强事中事后监管，规范取用水行为。对未办理取水许可的农业灌溉机井，逐一排查登记，符合条件且水资源不超载的给予办理取水许可证，不符合条件的进行封闭或拆除。</w:t>
      </w:r>
    </w:p>
    <w:p w14:paraId="2285237C">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整改落实情况：一是</w:t>
      </w:r>
      <w:r>
        <w:rPr>
          <w:rFonts w:hint="default" w:ascii="Times New Roman" w:hAnsi="Times New Roman" w:eastAsia="仿宋_GB2312" w:cs="Times New Roman"/>
          <w:snapToGrid/>
          <w:kern w:val="2"/>
          <w:sz w:val="32"/>
          <w:szCs w:val="32"/>
          <w:lang w:val="en-US" w:eastAsia="zh-CN"/>
        </w:rPr>
        <w:t>积极与自治区水利厅和兵团水利局沟通对接开通和应用了取水许可电子证照系统</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二是</w:t>
      </w:r>
      <w:r>
        <w:rPr>
          <w:rFonts w:hint="default" w:ascii="Times New Roman" w:hAnsi="Times New Roman" w:eastAsia="仿宋_GB2312" w:cs="Times New Roman"/>
          <w:snapToGrid/>
          <w:kern w:val="2"/>
          <w:sz w:val="32"/>
          <w:szCs w:val="32"/>
          <w:lang w:val="en-US" w:eastAsia="zh-CN"/>
        </w:rPr>
        <w:t>经摸底排查符合条件且水资源不超载机井共397眼，按照“三条红线”地下水用水指标全部办理了取水许可证</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三是</w:t>
      </w:r>
      <w:r>
        <w:rPr>
          <w:rFonts w:hint="default" w:ascii="Times New Roman" w:hAnsi="Times New Roman" w:eastAsia="仿宋_GB2312" w:cs="Times New Roman"/>
          <w:snapToGrid/>
          <w:kern w:val="2"/>
          <w:sz w:val="32"/>
          <w:szCs w:val="32"/>
          <w:lang w:val="en-US" w:eastAsia="zh-CN"/>
        </w:rPr>
        <w:t>经摸底排查不符合条件的农业灌溉机井共173眼并全部按照兵团关闭机井标准进行了关闭</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四是</w:t>
      </w:r>
      <w:r>
        <w:rPr>
          <w:rFonts w:hint="default" w:ascii="Times New Roman" w:hAnsi="Times New Roman" w:eastAsia="仿宋_GB2312" w:cs="Times New Roman"/>
          <w:snapToGrid/>
          <w:kern w:val="2"/>
          <w:sz w:val="32"/>
          <w:szCs w:val="32"/>
          <w:lang w:val="en-US" w:eastAsia="zh-CN"/>
        </w:rPr>
        <w:t>严格落实水资源有偿使用制度，加强落实地表水及地下水水资源费税征收工作。</w:t>
      </w:r>
    </w:p>
    <w:p w14:paraId="1C85B518">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整改措施三：</w:t>
      </w:r>
      <w:r>
        <w:rPr>
          <w:rFonts w:hint="default" w:ascii="Times New Roman" w:hAnsi="Times New Roman" w:eastAsia="仿宋_GB2312" w:cs="Times New Roman"/>
          <w:snapToGrid/>
          <w:kern w:val="2"/>
          <w:sz w:val="32"/>
          <w:szCs w:val="32"/>
          <w:lang w:val="en-US" w:eastAsia="zh-CN"/>
        </w:rPr>
        <w:t>严格水资源论证和节水评价。进一步发挥水资源在区域发展、相关规划和项目建设布局中的刚性约束作用，强化用水定额管理，落实以水定城、以水定地、以水定人、以水定产要求。从严叫停节水评价不通过的规划和建设项目，落实好建设项目的水资源论证审批工作。按照《关于开展建设项目水资源论证和取水许可情况集中排查整改的通知》要求，组织开展建设项目水资源论证和取水许可情况集中排查整改工作，规范建设项目取用水管理。</w:t>
      </w:r>
    </w:p>
    <w:p w14:paraId="72DFE971">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w:t>
      </w:r>
      <w:r>
        <w:rPr>
          <w:rFonts w:hint="default" w:ascii="Times New Roman" w:hAnsi="Times New Roman" w:eastAsia="仿宋_GB2312" w:cs="Times New Roman"/>
          <w:snapToGrid/>
          <w:kern w:val="2"/>
          <w:sz w:val="32"/>
          <w:szCs w:val="32"/>
          <w:lang w:val="en-US" w:eastAsia="zh-CN"/>
        </w:rPr>
        <w:t>加强水资源论证及节水评价工作开展。2023年以来开展了一牧场、二二五团、皮山农场新建地表水水厂、二二五团粮食产能提升项目和二二五团土地整治项目及师市经济开发区总体规划</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2025</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2035年</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水资源论证、节水评价等6项工作</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并全部通过审核。</w:t>
      </w:r>
    </w:p>
    <w:p w14:paraId="081C6166">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整改措施四：</w:t>
      </w:r>
      <w:r>
        <w:rPr>
          <w:rFonts w:hint="default" w:ascii="Times New Roman" w:hAnsi="Times New Roman" w:eastAsia="仿宋_GB2312" w:cs="Times New Roman"/>
          <w:snapToGrid/>
          <w:kern w:val="2"/>
          <w:sz w:val="32"/>
          <w:szCs w:val="32"/>
          <w:lang w:val="en-US" w:eastAsia="zh-CN"/>
        </w:rPr>
        <w:t>严格用水计划管理。全面落实好年度取用水计划管理工作，实现重点取用水户计划用水“全覆盖”</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对各团场</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镇</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落实计划用水管理工作纳入最严格水资源管理制度考核工作。</w:t>
      </w:r>
    </w:p>
    <w:p w14:paraId="2366F3AC">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整改落实情况：一是</w:t>
      </w:r>
      <w:r>
        <w:rPr>
          <w:rFonts w:hint="default" w:ascii="Times New Roman" w:hAnsi="Times New Roman" w:eastAsia="仿宋_GB2312" w:cs="Times New Roman"/>
          <w:snapToGrid/>
          <w:kern w:val="2"/>
          <w:sz w:val="32"/>
          <w:szCs w:val="32"/>
          <w:lang w:val="en-US" w:eastAsia="zh-CN"/>
        </w:rPr>
        <w:t>根据自治区下达年度地下水计划控制指标并分配各团场，同时将用水计划控制指标分解至每眼机井，根据井电双控机井监测系统，严格用水计划管理</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二是</w:t>
      </w:r>
      <w:r>
        <w:rPr>
          <w:rFonts w:hint="default" w:ascii="Times New Roman" w:hAnsi="Times New Roman" w:eastAsia="仿宋_GB2312" w:cs="Times New Roman"/>
          <w:snapToGrid/>
          <w:kern w:val="2"/>
          <w:sz w:val="32"/>
          <w:szCs w:val="32"/>
          <w:lang w:val="en-US" w:eastAsia="zh-CN"/>
        </w:rPr>
        <w:t xml:space="preserve">根据年初团场用水申请计划，向工业及企业等用水户下达 </w:t>
      </w:r>
      <w:r>
        <w:rPr>
          <w:rFonts w:hint="eastAsia" w:cs="Times New Roman"/>
          <w:snapToGrid/>
          <w:kern w:val="2"/>
          <w:sz w:val="32"/>
          <w:szCs w:val="32"/>
          <w:lang w:val="en-US" w:eastAsia="zh-CN"/>
        </w:rPr>
        <w:t>年度</w:t>
      </w:r>
      <w:r>
        <w:rPr>
          <w:rFonts w:hint="default" w:ascii="Times New Roman" w:hAnsi="Times New Roman" w:eastAsia="仿宋_GB2312" w:cs="Times New Roman"/>
          <w:snapToGrid/>
          <w:kern w:val="2"/>
          <w:sz w:val="32"/>
          <w:szCs w:val="32"/>
          <w:lang w:val="en-US" w:eastAsia="zh-CN"/>
        </w:rPr>
        <w:t>用水计划指标申请、核准及批复工作。</w:t>
      </w:r>
    </w:p>
    <w:p w14:paraId="4D2E8538">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整改措施五：</w:t>
      </w:r>
      <w:r>
        <w:rPr>
          <w:rFonts w:hint="default" w:ascii="Times New Roman" w:hAnsi="Times New Roman" w:eastAsia="仿宋_GB2312" w:cs="Times New Roman"/>
          <w:snapToGrid/>
          <w:kern w:val="2"/>
          <w:sz w:val="32"/>
          <w:szCs w:val="32"/>
          <w:lang w:val="en-US" w:eastAsia="zh-CN"/>
        </w:rPr>
        <w:t>强化地下水保护和管理。2022年制定《地下水超采治理实施方案》</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落实地下水超采治理措施，强化地下水水位和水量双控管理。按年度推进实施地表水引水基础配套设施项目，按照《地下水超采治理实施方案》</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分步骤达成师市“三条红线”地下水控制指标。</w:t>
      </w:r>
    </w:p>
    <w:p w14:paraId="14D38B54">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整改落实情况：一是</w:t>
      </w:r>
      <w:r>
        <w:rPr>
          <w:rFonts w:hint="default" w:ascii="Times New Roman" w:hAnsi="Times New Roman" w:eastAsia="仿宋_GB2312" w:cs="Times New Roman"/>
          <w:snapToGrid/>
          <w:kern w:val="2"/>
          <w:sz w:val="32"/>
          <w:szCs w:val="32"/>
          <w:lang w:val="en-US" w:eastAsia="zh-CN"/>
        </w:rPr>
        <w:t>制定了《第十四师昆玉市地下水整治管控三年</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2022</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2024年</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工作方案</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修订</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通过实施皮山农场八连灌区扬水泵站及配套管网建设项目、皮山农场2020年农村饮水安全巩固提升项目、皮山农场江河湖库水系连通项目、皮山农场恰斯干</w:t>
      </w:r>
      <w:r>
        <w:rPr>
          <w:rFonts w:hint="eastAsia" w:ascii="Times New Roman" w:hAnsi="Times New Roman" w:eastAsia="仿宋_GB2312" w:cs="Times New Roman"/>
          <w:snapToGrid/>
          <w:kern w:val="2"/>
          <w:sz w:val="32"/>
          <w:szCs w:val="32"/>
          <w:lang w:val="en-US" w:eastAsia="zh-CN"/>
        </w:rPr>
        <w:t>干</w:t>
      </w:r>
      <w:r>
        <w:rPr>
          <w:rFonts w:hint="default" w:ascii="Times New Roman" w:hAnsi="Times New Roman" w:eastAsia="仿宋_GB2312" w:cs="Times New Roman"/>
          <w:snapToGrid/>
          <w:kern w:val="2"/>
          <w:sz w:val="32"/>
          <w:szCs w:val="32"/>
          <w:lang w:val="en-US" w:eastAsia="zh-CN"/>
        </w:rPr>
        <w:t>渠延伸工程、四十七团农田水利灌溉基础设施新建及改建项目</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一期、二期</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、二二五团场内外水利工程、二二五团基础设施水厂建设项目、皮山农场城镇供水管网项目、昆玉市至四十七团供水管道工程等10余个项目，完善了各团场连队斗口以上地表水灌溉配套设施</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二是</w:t>
      </w:r>
      <w:r>
        <w:rPr>
          <w:rFonts w:hint="default" w:ascii="Times New Roman" w:hAnsi="Times New Roman" w:eastAsia="仿宋_GB2312" w:cs="Times New Roman"/>
          <w:snapToGrid/>
          <w:kern w:val="2"/>
          <w:sz w:val="32"/>
          <w:szCs w:val="32"/>
          <w:lang w:val="en-US" w:eastAsia="zh-CN"/>
        </w:rPr>
        <w:t>不断强化对各团场职工群众地下水管理和节约用水的宣传力度，有效提升职工群众保护地下水和节约用水的意识</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三是</w:t>
      </w:r>
      <w:r>
        <w:rPr>
          <w:rFonts w:hint="default" w:ascii="Times New Roman" w:hAnsi="Times New Roman" w:eastAsia="仿宋_GB2312" w:cs="Times New Roman"/>
          <w:snapToGrid/>
          <w:kern w:val="2"/>
          <w:sz w:val="32"/>
          <w:szCs w:val="32"/>
          <w:lang w:val="en-US" w:eastAsia="zh-CN"/>
        </w:rPr>
        <w:t>2023年度</w:t>
      </w:r>
      <w:r>
        <w:rPr>
          <w:rFonts w:hint="eastAsia" w:ascii="Times New Roman" w:hAnsi="Times New Roman" w:eastAsia="仿宋_GB2312" w:cs="Times New Roman"/>
          <w:snapToGrid/>
          <w:kern w:val="2"/>
          <w:sz w:val="32"/>
          <w:szCs w:val="32"/>
          <w:lang w:val="en-US" w:eastAsia="zh-CN"/>
        </w:rPr>
        <w:t>自治区水利厅</w:t>
      </w:r>
      <w:r>
        <w:rPr>
          <w:rFonts w:hint="default" w:ascii="Times New Roman" w:hAnsi="Times New Roman" w:eastAsia="仿宋_GB2312" w:cs="Times New Roman"/>
          <w:snapToGrid/>
          <w:kern w:val="2"/>
          <w:sz w:val="32"/>
          <w:szCs w:val="32"/>
          <w:lang w:val="en-US" w:eastAsia="zh-CN"/>
        </w:rPr>
        <w:t>向师市下达地下水计划控制指标2589万m³</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2023年地下水实际开采总量2112.32万m³。2024年度</w:t>
      </w:r>
      <w:r>
        <w:rPr>
          <w:rFonts w:hint="eastAsia" w:ascii="Times New Roman" w:hAnsi="Times New Roman" w:eastAsia="仿宋_GB2312" w:cs="Times New Roman"/>
          <w:snapToGrid/>
          <w:kern w:val="2"/>
          <w:sz w:val="32"/>
          <w:szCs w:val="32"/>
          <w:lang w:val="en-US" w:eastAsia="zh-CN"/>
        </w:rPr>
        <w:t>自治区水资委办公室</w:t>
      </w:r>
      <w:r>
        <w:rPr>
          <w:rFonts w:hint="default" w:ascii="Times New Roman" w:hAnsi="Times New Roman" w:eastAsia="仿宋_GB2312" w:cs="Times New Roman"/>
          <w:snapToGrid/>
          <w:kern w:val="2"/>
          <w:sz w:val="32"/>
          <w:szCs w:val="32"/>
          <w:lang w:val="en-US" w:eastAsia="zh-CN"/>
        </w:rPr>
        <w:t>向师市老团场下达地下水计划控制指标2482万m³,2024年师市老团场地下水实际开采总量2356.52万m³。2025年度</w:t>
      </w:r>
      <w:r>
        <w:rPr>
          <w:rFonts w:hint="eastAsia" w:ascii="Times New Roman" w:hAnsi="Times New Roman" w:eastAsia="仿宋_GB2312" w:cs="Times New Roman"/>
          <w:snapToGrid/>
          <w:kern w:val="2"/>
          <w:sz w:val="32"/>
          <w:szCs w:val="32"/>
          <w:lang w:val="en-US" w:eastAsia="zh-CN"/>
        </w:rPr>
        <w:t>自治区水资委办公室</w:t>
      </w:r>
      <w:r>
        <w:rPr>
          <w:rFonts w:hint="default" w:ascii="Times New Roman" w:hAnsi="Times New Roman" w:eastAsia="仿宋_GB2312" w:cs="Times New Roman"/>
          <w:snapToGrid/>
          <w:kern w:val="2"/>
          <w:sz w:val="32"/>
          <w:szCs w:val="32"/>
          <w:lang w:val="en-US" w:eastAsia="zh-CN"/>
        </w:rPr>
        <w:t>向师市老团场下达地下水计划控制指标2482万m³</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截至2025年8月26日</w:t>
      </w:r>
      <w:r>
        <w:rPr>
          <w:rFonts w:hint="eastAsia" w:ascii="Times New Roman" w:hAnsi="Times New Roman" w:eastAsia="仿宋_GB2312" w:cs="Times New Roman"/>
          <w:snapToGrid/>
          <w:kern w:val="2"/>
          <w:sz w:val="32"/>
          <w:szCs w:val="32"/>
          <w:lang w:val="en-US" w:eastAsia="zh-CN"/>
        </w:rPr>
        <w:t>师市老团场地下水实际开采量</w:t>
      </w:r>
      <w:r>
        <w:rPr>
          <w:rFonts w:hint="default" w:ascii="Times New Roman" w:hAnsi="Times New Roman" w:eastAsia="仿宋_GB2312" w:cs="Times New Roman"/>
          <w:snapToGrid/>
          <w:kern w:val="2"/>
          <w:sz w:val="32"/>
          <w:szCs w:val="32"/>
          <w:lang w:val="en-US" w:eastAsia="zh-CN"/>
        </w:rPr>
        <w:t>为954.57万m³</w:t>
      </w:r>
      <w:r>
        <w:rPr>
          <w:rFonts w:hint="eastAsia" w:ascii="Times New Roman" w:hAnsi="Times New Roman" w:eastAsia="仿宋_GB2312"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尚在可控范围以内。综上所述2023</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2025年地下水实际开采总量均控制在自治区下达的地下水年度计划控制指标范围以内。</w:t>
      </w:r>
    </w:p>
    <w:p w14:paraId="6A883009">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整改措施六：</w:t>
      </w:r>
      <w:r>
        <w:rPr>
          <w:rFonts w:hint="default" w:ascii="Times New Roman" w:hAnsi="Times New Roman" w:eastAsia="仿宋_GB2312" w:cs="Times New Roman"/>
          <w:snapToGrid/>
          <w:kern w:val="2"/>
          <w:sz w:val="32"/>
          <w:szCs w:val="32"/>
          <w:lang w:val="en-US" w:eastAsia="zh-CN"/>
        </w:rPr>
        <w:t>强化地下水监测监督。建立地下水监测体系，建立地下水位变化通报机制，向团场通报地下水变化情况。对地下水取用水量、水位控制指标恶化的团场，采取会商、通报、约谈、问责等方式进行督促整改。</w:t>
      </w:r>
    </w:p>
    <w:p w14:paraId="09A26870">
      <w:pPr>
        <w:widowControl w:val="0"/>
        <w:kinsoku/>
        <w:autoSpaceDE/>
        <w:autoSpaceDN/>
        <w:adjustRightInd/>
        <w:snapToGrid/>
        <w:spacing w:line="600" w:lineRule="exact"/>
        <w:ind w:left="0" w:leftChars="0" w:firstLine="643" w:firstLineChars="200"/>
        <w:jc w:val="both"/>
        <w:textAlignment w:val="auto"/>
        <w:rPr>
          <w:rFonts w:hint="default" w:ascii="Times New Roman" w:hAnsi="Times New Roman" w:eastAsia="仿宋_GB2312" w:cs="Times New Roman"/>
          <w:snapToGrid/>
          <w:kern w:val="2"/>
          <w:sz w:val="32"/>
          <w:szCs w:val="32"/>
          <w:lang w:val="en-US" w:eastAsia="zh-CN"/>
        </w:rPr>
      </w:pPr>
      <w:r>
        <w:rPr>
          <w:rFonts w:hint="default" w:ascii="Times New Roman" w:hAnsi="Times New Roman" w:eastAsia="仿宋_GB2312" w:cs="Times New Roman"/>
          <w:b/>
          <w:bCs/>
          <w:snapToGrid/>
          <w:kern w:val="2"/>
          <w:sz w:val="32"/>
          <w:szCs w:val="32"/>
          <w:lang w:val="en-US" w:eastAsia="zh-CN"/>
        </w:rPr>
        <w:t>整改落实情况：一是</w:t>
      </w:r>
      <w:r>
        <w:rPr>
          <w:rFonts w:hint="default" w:ascii="Times New Roman" w:hAnsi="Times New Roman" w:eastAsia="仿宋_GB2312" w:cs="Times New Roman"/>
          <w:snapToGrid/>
          <w:kern w:val="2"/>
          <w:sz w:val="32"/>
          <w:szCs w:val="32"/>
          <w:lang w:val="en-US" w:eastAsia="zh-CN"/>
        </w:rPr>
        <w:t>制定印发了《第十四师井电双控机井运行维护管理制度》</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定期查看师市井电双控信息化管理系统，督促运行维护单位及时对团场井电双控机井设施运行维护</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二是</w:t>
      </w:r>
      <w:r>
        <w:rPr>
          <w:rFonts w:hint="default" w:ascii="Times New Roman" w:hAnsi="Times New Roman" w:eastAsia="仿宋_GB2312" w:cs="Times New Roman"/>
          <w:snapToGrid/>
          <w:kern w:val="2"/>
          <w:sz w:val="32"/>
          <w:szCs w:val="32"/>
          <w:lang w:val="en-US" w:eastAsia="zh-CN"/>
        </w:rPr>
        <w:t>与师市发改委联合制定并印发了《第十四师昆玉市地下水井电双控机井管理制度</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试行</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w:t>
      </w:r>
      <w:r>
        <w:rPr>
          <w:rFonts w:hint="eastAsia" w:cs="Times New Roman"/>
          <w:snapToGrid/>
          <w:kern w:val="2"/>
          <w:sz w:val="32"/>
          <w:szCs w:val="32"/>
          <w:lang w:val="en-US" w:eastAsia="zh-CN"/>
        </w:rPr>
        <w:t>，</w:t>
      </w:r>
      <w:r>
        <w:rPr>
          <w:rFonts w:hint="default" w:ascii="Times New Roman" w:hAnsi="Times New Roman" w:eastAsia="仿宋_GB2312" w:cs="Times New Roman"/>
          <w:snapToGrid/>
          <w:kern w:val="2"/>
          <w:sz w:val="32"/>
          <w:szCs w:val="32"/>
          <w:lang w:val="en-US" w:eastAsia="zh-CN"/>
        </w:rPr>
        <w:t>常态对团场地下水管控开展监督检查工作，遏制了职工非法打井、破坏井电双控监管设施等问题</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三是</w:t>
      </w:r>
      <w:r>
        <w:rPr>
          <w:rFonts w:hint="default" w:ascii="Times New Roman" w:hAnsi="Times New Roman" w:eastAsia="仿宋_GB2312" w:cs="Times New Roman"/>
          <w:snapToGrid/>
          <w:kern w:val="2"/>
          <w:sz w:val="32"/>
          <w:szCs w:val="32"/>
          <w:lang w:val="en-US" w:eastAsia="zh-CN"/>
        </w:rPr>
        <w:t>2020年建立了地下水井电双控监测平台系统，实现了对机井地下水开采量的实时监控。2024年投资335.7万元对师市井电双控机井监测系统进行升级改造实现了“一站双发”</w:t>
      </w:r>
      <w:r>
        <w:rPr>
          <w:rFonts w:hint="eastAsia" w:cs="Times New Roman"/>
          <w:snapToGrid/>
          <w:kern w:val="2"/>
          <w:sz w:val="32"/>
          <w:szCs w:val="32"/>
          <w:lang w:val="en-US" w:eastAsia="zh-CN"/>
        </w:rPr>
        <w:t>。</w:t>
      </w:r>
      <w:r>
        <w:rPr>
          <w:rFonts w:hint="default" w:ascii="Times New Roman" w:hAnsi="Times New Roman" w:eastAsia="仿宋_GB2312" w:cs="Times New Roman"/>
          <w:b/>
          <w:bCs/>
          <w:snapToGrid/>
          <w:kern w:val="2"/>
          <w:sz w:val="32"/>
          <w:szCs w:val="32"/>
          <w:lang w:val="en-US" w:eastAsia="zh-CN"/>
        </w:rPr>
        <w:t>四是</w:t>
      </w:r>
      <w:r>
        <w:rPr>
          <w:rFonts w:hint="default" w:ascii="Times New Roman" w:hAnsi="Times New Roman" w:eastAsia="仿宋_GB2312" w:cs="Times New Roman"/>
          <w:snapToGrid/>
          <w:kern w:val="2"/>
          <w:sz w:val="32"/>
          <w:szCs w:val="32"/>
          <w:lang w:val="en-US" w:eastAsia="zh-CN"/>
        </w:rPr>
        <w:t>常态化按季度通报团场地下水水位变化情况，提醒团场地下水取用水量及水位控制指标。</w:t>
      </w:r>
    </w:p>
    <w:p w14:paraId="6C943118">
      <w:pPr>
        <w:numPr>
          <w:ilvl w:val="0"/>
          <w:numId w:val="0"/>
        </w:numPr>
        <w:ind w:firstLine="640" w:firstLineChars="200"/>
        <w:jc w:val="both"/>
        <w:rPr>
          <w:rFonts w:hint="default" w:ascii="Times New Roman" w:hAnsi="Times New Roman" w:cs="Times New Roman"/>
          <w:sz w:val="32"/>
          <w:szCs w:val="32"/>
          <w:lang w:val="en-US" w:eastAsia="zh-CN"/>
        </w:rPr>
      </w:pPr>
      <w:r>
        <w:rPr>
          <w:rFonts w:hint="default" w:ascii="Times New Roman" w:hAnsi="Times New Roman" w:eastAsia="仿宋_GB2312" w:cs="Times New Roman"/>
          <w:sz w:val="32"/>
          <w:szCs w:val="32"/>
          <w:lang w:val="en-US" w:eastAsia="zh-CN"/>
        </w:rPr>
        <w:t>公示时间：2025年9月4日至</w:t>
      </w:r>
      <w:r>
        <w:rPr>
          <w:rFonts w:hint="default" w:ascii="Times New Roman" w:hAnsi="Times New Roman" w:cs="Times New Roman"/>
          <w:sz w:val="32"/>
          <w:szCs w:val="32"/>
          <w:lang w:val="en-US" w:eastAsia="zh-CN"/>
        </w:rPr>
        <w:t>9月17日，共10个工作日。如有异议，请在公示期间来电来函如实反映。</w:t>
      </w:r>
    </w:p>
    <w:p w14:paraId="5F1AD3D0">
      <w:pPr>
        <w:numPr>
          <w:ilvl w:val="0"/>
          <w:numId w:val="0"/>
        </w:numPr>
        <w:ind w:firstLine="960" w:firstLineChars="30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整改责任单位电话（传真）0903-2566084</w:t>
      </w:r>
    </w:p>
    <w:p w14:paraId="3EF13CF7">
      <w:pPr>
        <w:numPr>
          <w:ilvl w:val="0"/>
          <w:numId w:val="0"/>
        </w:numPr>
        <w:ind w:firstLine="960" w:firstLineChars="300"/>
        <w:jc w:val="both"/>
        <w:rPr>
          <w:rFonts w:hint="default" w:ascii="Times New Roman" w:hAnsi="Times New Roman" w:cs="Times New Roman"/>
          <w:sz w:val="32"/>
          <w:szCs w:val="32"/>
          <w:lang w:val="en-US" w:eastAsia="zh-CN"/>
        </w:rPr>
      </w:pPr>
    </w:p>
    <w:p w14:paraId="40B78D2E">
      <w:pPr>
        <w:numPr>
          <w:ilvl w:val="0"/>
          <w:numId w:val="0"/>
        </w:numPr>
        <w:ind w:firstLine="960" w:firstLineChars="300"/>
        <w:jc w:val="both"/>
        <w:rPr>
          <w:rFonts w:hint="default" w:ascii="Times New Roman" w:hAnsi="Times New Roman" w:cs="Times New Roman"/>
          <w:sz w:val="32"/>
          <w:szCs w:val="32"/>
          <w:lang w:val="en-US" w:eastAsia="zh-CN"/>
        </w:rPr>
      </w:pPr>
    </w:p>
    <w:p w14:paraId="0F26E387">
      <w:pPr>
        <w:numPr>
          <w:ilvl w:val="0"/>
          <w:numId w:val="0"/>
        </w:numPr>
        <w:ind w:firstLine="960" w:firstLineChars="30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第十四师水利局</w:t>
      </w:r>
    </w:p>
    <w:p w14:paraId="3D57707A">
      <w:pPr>
        <w:numPr>
          <w:ilvl w:val="0"/>
          <w:numId w:val="0"/>
        </w:numPr>
        <w:ind w:firstLine="960" w:firstLineChars="300"/>
        <w:jc w:val="both"/>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 xml:space="preserve">                        2025年9月4日</w:t>
      </w:r>
    </w:p>
    <w:p w14:paraId="70C5C4DF">
      <w:pPr>
        <w:numPr>
          <w:ilvl w:val="0"/>
          <w:numId w:val="0"/>
        </w:numPr>
        <w:ind w:firstLine="960" w:firstLineChars="300"/>
        <w:jc w:val="both"/>
        <w:rPr>
          <w:rFonts w:hint="eastAsia" w:ascii="仿宋_GB2312" w:hAnsi="仿宋_GB2312" w:cs="仿宋_GB2312"/>
          <w:sz w:val="32"/>
          <w:szCs w:val="32"/>
          <w:lang w:val="en-US" w:eastAsia="zh-CN"/>
        </w:rPr>
      </w:pPr>
    </w:p>
    <w:sectPr>
      <w:footerReference r:id="rId5" w:type="default"/>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CB5F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14603">
                          <w:pPr>
                            <w:pStyle w:val="3"/>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814603">
                    <w:pPr>
                      <w:pStyle w:val="3"/>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B4C3C9"/>
    <w:multiLevelType w:val="singleLevel"/>
    <w:tmpl w:val="4BB4C3C9"/>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B9B"/>
    <w:rsid w:val="00150EAD"/>
    <w:rsid w:val="00571B9B"/>
    <w:rsid w:val="0CD26E70"/>
    <w:rsid w:val="184E58D3"/>
    <w:rsid w:val="1A101153"/>
    <w:rsid w:val="228C00C2"/>
    <w:rsid w:val="24DB022D"/>
    <w:rsid w:val="2BB62C95"/>
    <w:rsid w:val="2E920B22"/>
    <w:rsid w:val="37695090"/>
    <w:rsid w:val="379B5432"/>
    <w:rsid w:val="39B94762"/>
    <w:rsid w:val="46AA2F9F"/>
    <w:rsid w:val="4B4614E8"/>
    <w:rsid w:val="4C6D6112"/>
    <w:rsid w:val="4F8A5EE9"/>
    <w:rsid w:val="5323466A"/>
    <w:rsid w:val="562636DA"/>
    <w:rsid w:val="58122BFF"/>
    <w:rsid w:val="5816304C"/>
    <w:rsid w:val="5F08441B"/>
    <w:rsid w:val="735546CA"/>
    <w:rsid w:val="74616D35"/>
    <w:rsid w:val="7496678D"/>
    <w:rsid w:val="75593B63"/>
    <w:rsid w:val="784369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ind w:firstLine="640" w:firstLineChars="200"/>
      <w:jc w:val="left"/>
    </w:pPr>
    <w:rPr>
      <w:rFonts w:ascii="Times New Roman" w:hAnsi="Times New Roman" w:eastAsia="仿宋_GB2312" w:cstheme="minorBidi"/>
      <w:kern w:val="2"/>
      <w:sz w:val="32"/>
      <w:szCs w:val="32"/>
      <w:lang w:val="en-US" w:eastAsia="zh-CN" w:bidi="ar-SA"/>
    </w:rPr>
  </w:style>
  <w:style w:type="paragraph" w:styleId="2">
    <w:name w:val="heading 1"/>
    <w:basedOn w:val="1"/>
    <w:next w:val="1"/>
    <w:qFormat/>
    <w:uiPriority w:val="0"/>
    <w:pPr>
      <w:keepNext/>
      <w:keepLines/>
      <w:spacing w:beforeLines="0" w:beforeAutospacing="0" w:afterLines="0" w:afterAutospacing="0" w:line="600" w:lineRule="exact"/>
      <w:jc w:val="center"/>
      <w:outlineLvl w:val="0"/>
    </w:pPr>
    <w:rPr>
      <w:rFonts w:ascii="Times New Roman" w:hAnsi="Times New Roman" w:eastAsia="方正小标宋简体"/>
      <w:b/>
      <w:kern w:val="44"/>
      <w:sz w:val="44"/>
      <w:szCs w:val="44"/>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2432</Words>
  <Characters>2557</Characters>
  <Lines>0</Lines>
  <Paragraphs>0</Paragraphs>
  <TotalTime>0</TotalTime>
  <ScaleCrop>false</ScaleCrop>
  <LinksUpToDate>false</LinksUpToDate>
  <CharactersWithSpaces>2612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2025-09-03T08:47:00Z</dcterms:created>
  <dc:creator>Administrator</dc:creator>
  <cp:lastModifiedBy>小小东</cp:lastModifiedBy>
  <cp:lastPrinted>2025-09-04T03:44:00Z</cp:lastPrinted>
  <dcterms:modified xsi:type="dcterms:W3CDTF">2025-09-04T11:58:21Z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eyJoZGlkIjoiNjQzNTc2ZTg3MTk5YjUwNDVjODE5MDgwNTRjZDIzNDMiLCJ1c2VySWQiOiIzMDI3NzQ4ODIifQ==</vt:lpwstr>
  </property>
  <property fmtid="{D5CDD505-2E9C-101B-9397-08002B2CF9AE}" pid="4" name="ICV">
    <vt:lpwstr>F470F0B29BA1491D808BEE3AA05FE655_12</vt:lpwstr>
  </property>
</Properties>
</file>