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A57AE">
      <w:pPr>
        <w:keepNext w:val="0"/>
        <w:keepLines w:val="0"/>
        <w:pageBreakBefore w:val="0"/>
        <w:kinsoku/>
        <w:wordWrap/>
        <w:bidi w:val="0"/>
        <w:spacing w:line="56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14:paraId="749F2B7E">
      <w:pPr>
        <w:keepNext w:val="0"/>
        <w:keepLines w:val="0"/>
        <w:pageBreakBefore w:val="0"/>
        <w:widowControl w:val="0"/>
        <w:tabs>
          <w:tab w:val="left" w:pos="3518"/>
        </w:tabs>
        <w:kinsoku/>
        <w:wordWrap/>
        <w:topLinePunct/>
        <w:autoSpaceDE w:val="0"/>
        <w:autoSpaceDN/>
        <w:bidi w:val="0"/>
        <w:adjustRightInd/>
        <w:snapToGrid/>
        <w:spacing w:line="520" w:lineRule="exact"/>
        <w:jc w:val="center"/>
        <w:textAlignment w:val="auto"/>
        <w:rPr>
          <w:rFonts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pacing w:val="-2"/>
          <w:sz w:val="44"/>
          <w:szCs w:val="44"/>
        </w:rPr>
        <w:t>第十四师市场监督管理局</w:t>
      </w:r>
    </w:p>
    <w:p w14:paraId="7A42BB0A">
      <w:pPr>
        <w:keepNext w:val="0"/>
        <w:keepLines w:val="0"/>
        <w:pageBreakBefore w:val="0"/>
        <w:widowControl w:val="0"/>
        <w:kinsoku/>
        <w:wordWrap/>
        <w:topLinePunct/>
        <w:autoSpaceDE w:val="0"/>
        <w:autoSpaceDN/>
        <w:bidi w:val="0"/>
        <w:adjustRightInd/>
        <w:snapToGrid/>
        <w:spacing w:line="520" w:lineRule="exact"/>
        <w:jc w:val="center"/>
        <w:textAlignment w:val="auto"/>
        <w:rPr>
          <w:rFonts w:hint="eastAsia" w:ascii="方正小标宋简体" w:hAnsi="方正小标宋简体" w:eastAsia="方正小标宋简体" w:cs="方正小标宋简体"/>
          <w:spacing w:val="-2"/>
          <w:sz w:val="44"/>
          <w:szCs w:val="44"/>
        </w:rPr>
      </w:pPr>
      <w:r>
        <w:rPr>
          <w:rFonts w:hint="eastAsia" w:ascii="方正小标宋简体" w:hAnsi="方正小标宋简体" w:eastAsia="方正小标宋简体" w:cs="方正小标宋简体"/>
          <w:spacing w:val="-2"/>
          <w:sz w:val="44"/>
          <w:szCs w:val="44"/>
        </w:rPr>
        <w:t>行政处罚决定书</w:t>
      </w:r>
    </w:p>
    <w:p w14:paraId="58F5A23D">
      <w:pPr>
        <w:keepNext w:val="0"/>
        <w:keepLines w:val="0"/>
        <w:pageBreakBefore w:val="0"/>
        <w:widowControl w:val="0"/>
        <w:kinsoku/>
        <w:wordWrap/>
        <w:topLinePunct/>
        <w:autoSpaceDE w:val="0"/>
        <w:autoSpaceDN/>
        <w:bidi w:val="0"/>
        <w:adjustRightInd/>
        <w:snapToGrid/>
        <w:spacing w:line="520" w:lineRule="exact"/>
        <w:jc w:val="center"/>
        <w:textAlignment w:val="auto"/>
        <w:rPr>
          <w:rFonts w:ascii="Times New Roman" w:hAnsi="Times New Roman" w:eastAsia="仿宋_GB2312" w:cs="Times New Roman"/>
          <w:sz w:val="32"/>
          <w:szCs w:val="32"/>
        </w:rPr>
      </w:pPr>
      <w:r>
        <w:rPr>
          <w:rFonts w:hint="eastAsia" w:ascii="仿宋_GB2312" w:hAnsi="仿宋_GB2312" w:eastAsia="仿宋_GB2312" w:cs="仿宋_GB2312"/>
          <w:spacing w:val="-7"/>
          <w:sz w:val="32"/>
          <w:szCs w:val="32"/>
        </w:rPr>
        <w:t>十四师市监处罚</w:t>
      </w:r>
      <w:r>
        <w:rPr>
          <w:rFonts w:ascii="Times New Roman" w:hAnsi="Times New Roman" w:eastAsia="仿宋_GB2312" w:cs="Times New Roman"/>
          <w:spacing w:val="-7"/>
          <w:sz w:val="32"/>
          <w:szCs w:val="32"/>
        </w:rPr>
        <w:t>〔</w:t>
      </w:r>
      <w:r>
        <w:rPr>
          <w:rFonts w:ascii="Times New Roman" w:hAnsi="Times New Roman" w:eastAsia="仿宋_GB2312" w:cs="Times New Roman"/>
          <w:spacing w:val="18"/>
          <w:sz w:val="32"/>
          <w:szCs w:val="32"/>
          <w:u w:val="single"/>
        </w:rPr>
        <w:t>202</w:t>
      </w:r>
      <w:r>
        <w:rPr>
          <w:rFonts w:hint="eastAsia" w:ascii="Times New Roman" w:hAnsi="Times New Roman" w:eastAsia="仿宋_GB2312" w:cs="Times New Roman"/>
          <w:spacing w:val="18"/>
          <w:sz w:val="32"/>
          <w:szCs w:val="32"/>
          <w:u w:val="single"/>
          <w:lang w:val="en-US" w:eastAsia="zh-CN"/>
        </w:rPr>
        <w:t>5</w:t>
      </w:r>
      <w:r>
        <w:rPr>
          <w:rFonts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58</w:t>
      </w:r>
      <w:r>
        <w:rPr>
          <w:rFonts w:ascii="Times New Roman" w:hAnsi="Times New Roman" w:eastAsia="仿宋_GB2312" w:cs="Times New Roman"/>
          <w:spacing w:val="-7"/>
          <w:sz w:val="32"/>
          <w:szCs w:val="32"/>
        </w:rPr>
        <w:t>号</w:t>
      </w:r>
    </w:p>
    <w:bookmarkEnd w:id="0"/>
    <w:p w14:paraId="24DAB7EE">
      <w:pPr>
        <w:keepNext w:val="0"/>
        <w:keepLines w:val="0"/>
        <w:pageBreakBefore w:val="0"/>
        <w:widowControl w:val="0"/>
        <w:kinsoku/>
        <w:wordWrap/>
        <w:topLinePunct/>
        <w:autoSpaceDE w:val="0"/>
        <w:autoSpaceDN/>
        <w:bidi w:val="0"/>
        <w:adjustRightInd/>
        <w:snapToGrid/>
        <w:spacing w:line="520" w:lineRule="exact"/>
        <w:textAlignment w:val="auto"/>
        <w:rPr>
          <w:rFonts w:ascii="Times New Roman" w:hAnsi="Times New Roman" w:cs="Times New Roman"/>
        </w:rPr>
      </w:pPr>
    </w:p>
    <w:p w14:paraId="59A81AC8">
      <w:pPr>
        <w:keepNext w:val="0"/>
        <w:keepLines w:val="0"/>
        <w:pageBreakBefore w:val="0"/>
        <w:widowControl/>
        <w:kinsoku/>
        <w:wordWrap/>
        <w:overflowPunct/>
        <w:topLinePunct/>
        <w:autoSpaceDE w:val="0"/>
        <w:autoSpaceDN/>
        <w:bidi w:val="0"/>
        <w:adjustRightInd/>
        <w:snapToGrid/>
        <w:spacing w:line="520" w:lineRule="exact"/>
        <w:ind w:firstLine="34"/>
        <w:jc w:val="both"/>
        <w:textAlignment w:val="auto"/>
        <w:rPr>
          <w:rFonts w:ascii="Times New Roman" w:hAnsi="Times New Roman" w:eastAsia="仿宋_GB2312" w:cs="Times New Roman"/>
          <w:spacing w:val="1"/>
          <w:sz w:val="32"/>
          <w:szCs w:val="32"/>
          <w:u w:val="single"/>
        </w:rPr>
      </w:pPr>
      <w:r>
        <w:rPr>
          <w:rFonts w:hint="eastAsia" w:ascii="Times New Roman" w:hAnsi="Times New Roman" w:eastAsia="仿宋_GB2312" w:cs="Times New Roman"/>
          <w:color w:val="auto"/>
          <w:sz w:val="32"/>
          <w:szCs w:val="32"/>
          <w:highlight w:val="none"/>
        </w:rPr>
        <w:t>当事人</w:t>
      </w:r>
      <w:r>
        <w:rPr>
          <w:rFonts w:ascii="Times New Roman" w:hAnsi="Times New Roman" w:eastAsia="仿宋_GB2312" w:cs="Times New Roman"/>
          <w:w w:val="89"/>
          <w:sz w:val="32"/>
          <w:szCs w:val="32"/>
        </w:rPr>
        <w:t>：</w:t>
      </w:r>
      <w:r>
        <w:rPr>
          <w:rFonts w:hint="eastAsia" w:ascii="Times New Roman" w:hAnsi="Times New Roman" w:eastAsia="仿宋_GB2312" w:cs="Times New Roman"/>
          <w:color w:val="auto"/>
          <w:spacing w:val="-9"/>
          <w:sz w:val="32"/>
          <w:szCs w:val="32"/>
          <w:highlight w:val="none"/>
          <w:u w:val="single"/>
        </w:rPr>
        <w:t>昆玉市昆仑镇沙昆种植养殖专业合作社</w:t>
      </w:r>
      <w:r>
        <w:rPr>
          <w:rFonts w:hint="eastAsia" w:ascii="Times New Roman" w:hAnsi="Times New Roman" w:eastAsia="仿宋_GB2312" w:cs="Times New Roman"/>
          <w:spacing w:val="1"/>
          <w:sz w:val="32"/>
          <w:szCs w:val="32"/>
          <w:u w:val="single"/>
          <w:lang w:val="en-US" w:eastAsia="zh-CN"/>
        </w:rPr>
        <w:t xml:space="preserve">          </w:t>
      </w:r>
      <w:r>
        <w:rPr>
          <w:rFonts w:ascii="Times New Roman" w:hAnsi="Times New Roman" w:eastAsia="仿宋_GB2312" w:cs="Times New Roman"/>
          <w:spacing w:val="1"/>
          <w:sz w:val="32"/>
          <w:szCs w:val="32"/>
          <w:u w:val="single"/>
        </w:rPr>
        <w:t xml:space="preserve">               </w:t>
      </w:r>
    </w:p>
    <w:p w14:paraId="62190855">
      <w:pPr>
        <w:keepNext w:val="0"/>
        <w:keepLines w:val="0"/>
        <w:pageBreakBefore w:val="0"/>
        <w:widowControl/>
        <w:kinsoku/>
        <w:wordWrap/>
        <w:overflowPunct/>
        <w:topLinePunct/>
        <w:autoSpaceDE w:val="0"/>
        <w:autoSpaceDN/>
        <w:bidi w:val="0"/>
        <w:adjustRightInd/>
        <w:snapToGrid/>
        <w:spacing w:line="520" w:lineRule="exact"/>
        <w:ind w:firstLine="34"/>
        <w:jc w:val="both"/>
        <w:textAlignment w:val="auto"/>
        <w:rPr>
          <w:rFonts w:ascii="Times New Roman" w:hAnsi="Times New Roman" w:eastAsia="仿宋_GB2312" w:cs="Times New Roman"/>
          <w:spacing w:val="1"/>
          <w:sz w:val="32"/>
          <w:szCs w:val="32"/>
          <w:u w:val="single"/>
        </w:rPr>
      </w:pPr>
      <w:r>
        <w:rPr>
          <w:rFonts w:hint="eastAsia" w:ascii="Times New Roman" w:hAnsi="Times New Roman" w:eastAsia="仿宋_GB2312" w:cs="Times New Roman"/>
          <w:color w:val="auto"/>
          <w:sz w:val="32"/>
          <w:szCs w:val="32"/>
          <w:highlight w:val="none"/>
        </w:rPr>
        <w:t>主体资格证照名称</w:t>
      </w:r>
      <w:r>
        <w:rPr>
          <w:rFonts w:ascii="Times New Roman" w:hAnsi="Times New Roman" w:eastAsia="仿宋_GB2312" w:cs="Times New Roman"/>
          <w:spacing w:val="-28"/>
          <w:sz w:val="32"/>
          <w:szCs w:val="32"/>
        </w:rPr>
        <w:t>：</w:t>
      </w:r>
      <w:r>
        <w:rPr>
          <w:rFonts w:ascii="Times New Roman" w:hAnsi="Times New Roman" w:eastAsia="仿宋_GB2312" w:cs="Times New Roman"/>
          <w:spacing w:val="1"/>
          <w:sz w:val="32"/>
          <w:szCs w:val="32"/>
          <w:u w:val="single"/>
        </w:rPr>
        <w:t xml:space="preserve">     营业执照</w:t>
      </w:r>
      <w:r>
        <w:rPr>
          <w:rFonts w:hint="eastAsia" w:ascii="Times New Roman" w:hAnsi="Times New Roman" w:eastAsia="仿宋_GB2312" w:cs="Times New Roman"/>
          <w:spacing w:val="1"/>
          <w:sz w:val="32"/>
          <w:szCs w:val="32"/>
          <w:u w:val="single"/>
          <w:lang w:val="en-US" w:eastAsia="zh-CN"/>
        </w:rPr>
        <w:t xml:space="preserve">                       </w:t>
      </w:r>
      <w:r>
        <w:rPr>
          <w:rFonts w:ascii="Times New Roman" w:hAnsi="Times New Roman" w:eastAsia="仿宋_GB2312" w:cs="Times New Roman"/>
          <w:spacing w:val="1"/>
          <w:sz w:val="32"/>
          <w:szCs w:val="32"/>
          <w:u w:val="single"/>
        </w:rPr>
        <w:t xml:space="preserve"> </w:t>
      </w:r>
    </w:p>
    <w:p w14:paraId="26B311D3">
      <w:pPr>
        <w:keepNext w:val="0"/>
        <w:keepLines w:val="0"/>
        <w:pageBreakBefore w:val="0"/>
        <w:widowControl/>
        <w:kinsoku/>
        <w:wordWrap/>
        <w:overflowPunct/>
        <w:topLinePunct/>
        <w:autoSpaceDE w:val="0"/>
        <w:autoSpaceDN/>
        <w:bidi w:val="0"/>
        <w:adjustRightInd/>
        <w:snapToGrid/>
        <w:spacing w:line="520" w:lineRule="exact"/>
        <w:ind w:firstLine="34"/>
        <w:jc w:val="both"/>
        <w:textAlignment w:val="auto"/>
        <w:rPr>
          <w:rFonts w:hint="eastAsia" w:ascii="Times New Roman" w:hAnsi="Times New Roman" w:eastAsia="仿宋_GB2312" w:cs="Times New Roman"/>
          <w:spacing w:val="1"/>
          <w:sz w:val="32"/>
          <w:szCs w:val="32"/>
          <w:u w:val="single"/>
        </w:rPr>
      </w:pPr>
      <w:r>
        <w:rPr>
          <w:rFonts w:hint="eastAsia" w:ascii="Times New Roman" w:hAnsi="Times New Roman" w:eastAsia="仿宋_GB2312" w:cs="Times New Roman"/>
          <w:color w:val="auto"/>
          <w:sz w:val="32"/>
          <w:szCs w:val="32"/>
          <w:highlight w:val="none"/>
        </w:rPr>
        <w:t>统一社会信用代码</w:t>
      </w:r>
      <w:r>
        <w:rPr>
          <w:rFonts w:ascii="Times New Roman" w:hAnsi="Times New Roman" w:eastAsia="仿宋_GB2312" w:cs="Times New Roman"/>
          <w:spacing w:val="-28"/>
          <w:sz w:val="32"/>
          <w:szCs w:val="32"/>
        </w:rPr>
        <w:t>：</w:t>
      </w:r>
      <w:r>
        <w:rPr>
          <w:rFonts w:hint="eastAsia" w:ascii="Times New Roman" w:hAnsi="Times New Roman" w:eastAsia="仿宋_GB2312" w:cs="Times New Roman"/>
          <w:color w:val="auto"/>
          <w:spacing w:val="-9"/>
          <w:sz w:val="32"/>
          <w:szCs w:val="32"/>
          <w:highlight w:val="none"/>
          <w:u w:val="single"/>
        </w:rPr>
        <w:t>93659009MA789H8Q68</w:t>
      </w:r>
      <w:r>
        <w:rPr>
          <w:rFonts w:hint="eastAsia" w:ascii="Times New Roman" w:hAnsi="Times New Roman" w:eastAsia="仿宋_GB2312" w:cs="Times New Roman"/>
          <w:spacing w:val="1"/>
          <w:sz w:val="32"/>
          <w:szCs w:val="32"/>
          <w:u w:val="single"/>
        </w:rPr>
        <w:t xml:space="preserve"> </w:t>
      </w:r>
      <w:r>
        <w:rPr>
          <w:rFonts w:hint="eastAsia" w:ascii="Times New Roman" w:hAnsi="Times New Roman" w:eastAsia="仿宋_GB2312" w:cs="Times New Roman"/>
          <w:spacing w:val="1"/>
          <w:sz w:val="32"/>
          <w:szCs w:val="32"/>
          <w:u w:val="single"/>
          <w:lang w:val="en-US" w:eastAsia="zh-CN"/>
        </w:rPr>
        <w:t xml:space="preserve">                   </w:t>
      </w:r>
      <w:r>
        <w:rPr>
          <w:rFonts w:hint="eastAsia" w:ascii="Times New Roman" w:hAnsi="Times New Roman" w:eastAsia="仿宋_GB2312" w:cs="Times New Roman"/>
          <w:spacing w:val="1"/>
          <w:sz w:val="32"/>
          <w:szCs w:val="32"/>
          <w:u w:val="single"/>
        </w:rPr>
        <w:t xml:space="preserve"> </w:t>
      </w:r>
    </w:p>
    <w:p w14:paraId="0E8C6CEC">
      <w:pPr>
        <w:keepNext w:val="0"/>
        <w:keepLines w:val="0"/>
        <w:pageBreakBefore w:val="0"/>
        <w:widowControl/>
        <w:kinsoku/>
        <w:wordWrap/>
        <w:overflowPunct/>
        <w:topLinePunct/>
        <w:autoSpaceDE w:val="0"/>
        <w:autoSpaceDN/>
        <w:bidi w:val="0"/>
        <w:adjustRightInd/>
        <w:snapToGrid/>
        <w:spacing w:line="520" w:lineRule="exact"/>
        <w:ind w:firstLine="34"/>
        <w:jc w:val="both"/>
        <w:textAlignment w:val="auto"/>
        <w:rPr>
          <w:rFonts w:hint="default" w:ascii="Times New Roman" w:hAnsi="Times New Roman" w:eastAsia="仿宋_GB2312" w:cs="Times New Roman"/>
          <w:color w:val="auto"/>
          <w:spacing w:val="-9"/>
          <w:sz w:val="32"/>
          <w:szCs w:val="32"/>
          <w:highlight w:val="none"/>
          <w:u w:val="single"/>
          <w:lang w:val="en-US" w:eastAsia="zh-CN"/>
        </w:rPr>
      </w:pPr>
      <w:r>
        <w:rPr>
          <w:rFonts w:hint="eastAsia" w:ascii="Times New Roman" w:hAnsi="Times New Roman" w:eastAsia="仿宋_GB2312" w:cs="Times New Roman"/>
          <w:color w:val="auto"/>
          <w:sz w:val="32"/>
          <w:szCs w:val="32"/>
          <w:highlight w:val="none"/>
          <w:lang w:val="en-US" w:eastAsia="zh-CN"/>
        </w:rPr>
        <w:t>住所</w:t>
      </w:r>
      <w:r>
        <w:rPr>
          <w:rFonts w:hint="eastAsia" w:ascii="仿宋_GB2312" w:hAnsi="仿宋_GB2312" w:eastAsia="仿宋_GB2312" w:cs="仿宋_GB2312"/>
          <w:spacing w:val="-11"/>
          <w:sz w:val="32"/>
          <w:szCs w:val="32"/>
          <w:highlight w:val="none"/>
        </w:rPr>
        <w:t>：</w:t>
      </w:r>
      <w:r>
        <w:rPr>
          <w:rFonts w:hint="eastAsia" w:ascii="Times New Roman" w:hAnsi="Times New Roman" w:eastAsia="仿宋_GB2312" w:cs="Times New Roman"/>
          <w:color w:val="auto"/>
          <w:spacing w:val="-9"/>
          <w:sz w:val="32"/>
          <w:szCs w:val="32"/>
          <w:highlight w:val="none"/>
          <w:u w:val="single"/>
        </w:rPr>
        <w:t>新疆昆玉市昆仑镇47团一连办公室</w:t>
      </w:r>
      <w:r>
        <w:rPr>
          <w:rFonts w:hint="eastAsia" w:ascii="Times New Roman" w:hAnsi="Times New Roman" w:eastAsia="仿宋_GB2312" w:cs="Times New Roman"/>
          <w:color w:val="auto"/>
          <w:spacing w:val="-9"/>
          <w:sz w:val="32"/>
          <w:szCs w:val="32"/>
          <w:highlight w:val="none"/>
          <w:u w:val="single"/>
          <w:lang w:val="en-US" w:eastAsia="zh-CN"/>
        </w:rPr>
        <w:t xml:space="preserve">      </w:t>
      </w:r>
    </w:p>
    <w:p w14:paraId="64C7EBE1">
      <w:pPr>
        <w:keepNext w:val="0"/>
        <w:keepLines w:val="0"/>
        <w:pageBreakBefore w:val="0"/>
        <w:widowControl/>
        <w:kinsoku/>
        <w:wordWrap/>
        <w:overflowPunct/>
        <w:topLinePunct/>
        <w:autoSpaceDE w:val="0"/>
        <w:autoSpaceDN/>
        <w:bidi w:val="0"/>
        <w:adjustRightInd/>
        <w:snapToGrid/>
        <w:spacing w:line="520" w:lineRule="exact"/>
        <w:ind w:firstLine="34"/>
        <w:jc w:val="both"/>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highlight w:val="none"/>
          <w:lang w:val="en-US" w:eastAsia="zh-CN"/>
        </w:rPr>
        <w:t>法定代表人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pacing w:val="1"/>
          <w:sz w:val="32"/>
          <w:szCs w:val="32"/>
          <w:highlight w:val="none"/>
          <w:u w:val="single"/>
        </w:rPr>
        <w:t xml:space="preserve"> </w:t>
      </w:r>
      <w:r>
        <w:rPr>
          <w:rFonts w:hint="eastAsia" w:ascii="Times New Roman" w:hAnsi="Times New Roman" w:eastAsia="仿宋_GB2312" w:cs="Times New Roman"/>
          <w:color w:val="auto"/>
          <w:spacing w:val="-9"/>
          <w:sz w:val="32"/>
          <w:szCs w:val="32"/>
          <w:highlight w:val="none"/>
          <w:u w:val="single"/>
        </w:rPr>
        <w:t>王新明</w:t>
      </w:r>
      <w:r>
        <w:rPr>
          <w:rFonts w:hint="eastAsia" w:ascii="仿宋_GB2312" w:hAnsi="仿宋_GB2312" w:eastAsia="仿宋_GB2312" w:cs="仿宋_GB2312"/>
          <w:spacing w:val="4"/>
          <w:sz w:val="32"/>
          <w:szCs w:val="32"/>
          <w:u w:val="single"/>
          <w:lang w:val="en-US" w:eastAsia="zh-CN"/>
        </w:rPr>
        <w:t xml:space="preserve">             </w:t>
      </w:r>
      <w:r>
        <w:rPr>
          <w:rFonts w:hint="eastAsia" w:ascii="Times New Roman" w:hAnsi="Times New Roman" w:eastAsia="仿宋_GB2312" w:cs="Times New Roman"/>
          <w:spacing w:val="1"/>
          <w:sz w:val="32"/>
          <w:szCs w:val="32"/>
          <w:u w:val="single"/>
        </w:rPr>
        <w:t xml:space="preserve"> </w:t>
      </w:r>
      <w:r>
        <w:rPr>
          <w:rFonts w:hint="eastAsia" w:ascii="仿宋_GB2312" w:hAnsi="仿宋_GB2312" w:eastAsia="仿宋_GB2312" w:cs="仿宋_GB2312"/>
          <w:spacing w:val="1"/>
          <w:sz w:val="32"/>
          <w:szCs w:val="32"/>
          <w:u w:val="single"/>
        </w:rPr>
        <w:t xml:space="preserve">              </w:t>
      </w:r>
      <w:r>
        <w:rPr>
          <w:rFonts w:hint="eastAsia" w:ascii="仿宋_GB2312" w:hAnsi="仿宋_GB2312" w:eastAsia="仿宋_GB2312" w:cs="仿宋_GB2312"/>
          <w:spacing w:val="1"/>
          <w:sz w:val="32"/>
          <w:szCs w:val="32"/>
          <w:u w:val="single"/>
          <w:lang w:val="en-US" w:eastAsia="zh-CN"/>
        </w:rPr>
        <w:t xml:space="preserve"> </w:t>
      </w:r>
      <w:r>
        <w:rPr>
          <w:rFonts w:hint="eastAsia" w:ascii="仿宋_GB2312" w:hAnsi="仿宋_GB2312" w:eastAsia="仿宋_GB2312" w:cs="仿宋_GB2312"/>
          <w:spacing w:val="1"/>
          <w:sz w:val="32"/>
          <w:szCs w:val="32"/>
          <w:u w:val="single"/>
        </w:rPr>
        <w:t xml:space="preserve"> </w:t>
      </w:r>
      <w:r>
        <w:rPr>
          <w:rFonts w:hint="eastAsia" w:ascii="仿宋_GB2312" w:hAnsi="仿宋_GB2312" w:eastAsia="仿宋_GB2312" w:cs="仿宋_GB2312"/>
          <w:spacing w:val="1"/>
          <w:sz w:val="32"/>
          <w:szCs w:val="32"/>
          <w:u w:val="single"/>
          <w:lang w:val="en-US" w:eastAsia="zh-CN"/>
        </w:rPr>
        <w:t xml:space="preserve">       </w:t>
      </w:r>
    </w:p>
    <w:p w14:paraId="53269E7E">
      <w:pPr>
        <w:pStyle w:val="6"/>
        <w:keepNext w:val="0"/>
        <w:keepLines w:val="0"/>
        <w:pageBreakBefore w:val="0"/>
        <w:widowControl/>
        <w:kinsoku/>
        <w:wordWrap/>
        <w:overflowPunct/>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未报送2023年度、2024年度的年度报告并公示，被我局列入经营异常名录，同时未进行注销登记。2025年7月17日和2025年8月18日，我局执法人员通过中国邮政向当事人住所邮寄提醒履行年报义务的挂号信2封，均因无人签收、无法联系到当事人被退回。2025年7月3日和7月23日，我局执法人员依法对当事人住所进行现场检查，未发现当事人在注册登记住所开展经营活动，我局执法人员现场拨打当事人注册登记的联系电话，无法联系到当事人法定代表人。2025年9月15日，经国家税务总局昆玉税务局协查，当事人未在国家税务总局昆玉税务局办理登记信息，无纳税申报记录。</w:t>
      </w:r>
    </w:p>
    <w:p w14:paraId="0458A344">
      <w:pPr>
        <w:pStyle w:val="6"/>
        <w:keepNext w:val="0"/>
        <w:keepLines w:val="0"/>
        <w:pageBreakBefore w:val="0"/>
        <w:widowControl/>
        <w:kinsoku/>
        <w:wordWrap/>
        <w:overflowPunct/>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为进一步查明事实，我局于2025年9月23日立案调查。</w:t>
      </w:r>
    </w:p>
    <w:p w14:paraId="35BE95FE">
      <w:pPr>
        <w:pStyle w:val="6"/>
        <w:keepNext w:val="0"/>
        <w:keepLines w:val="0"/>
        <w:pageBreakBefore w:val="0"/>
        <w:widowControl/>
        <w:kinsoku/>
        <w:wordWrap/>
        <w:overflowPunct/>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2025年7月3日和7月23日，我局执法人员依法对当事人注册登记住所进行现场检查，并制作现场笔录共2份，由四十七团一连副连长作为见证人签字确认。调查过程中，依法提取了当事人年报信息、企业信用信息公示报告等证据材料，调查全过程使用执法记录仪摄像记录。</w:t>
      </w:r>
    </w:p>
    <w:p w14:paraId="0E705D4D">
      <w:pPr>
        <w:pStyle w:val="6"/>
        <w:keepNext w:val="0"/>
        <w:keepLines w:val="0"/>
        <w:pageBreakBefore w:val="0"/>
        <w:widowControl/>
        <w:kinsoku/>
        <w:wordWrap/>
        <w:overflowPunct/>
        <w:topLinePunct/>
        <w:autoSpaceDE w:val="0"/>
        <w:autoSpaceDN/>
        <w:bidi w:val="0"/>
        <w:adjustRightInd/>
        <w:snapToGrid/>
        <w:spacing w:line="520" w:lineRule="exact"/>
        <w:ind w:firstLine="640" w:firstLineChars="200"/>
        <w:jc w:val="both"/>
        <w:textAlignment w:val="auto"/>
      </w:pPr>
      <w:r>
        <w:rPr>
          <w:rFonts w:hint="eastAsia" w:ascii="Times New Roman" w:hAnsi="Times New Roman" w:eastAsia="仿宋_GB2312" w:cs="Times New Roman"/>
          <w:snapToGrid w:val="0"/>
          <w:color w:val="auto"/>
          <w:spacing w:val="0"/>
          <w:sz w:val="32"/>
          <w:szCs w:val="32"/>
          <w:lang w:val="en-US" w:eastAsia="zh-CN"/>
        </w:rPr>
        <w:t>经查询国家企业信用信息公示系统，当事人于2019年3月12日注册成立，统一社会信用代码：93659009MA789H8Q68，登记状态：存续（在营、开业、在册），登记住所：新疆昆玉市昆仑镇47团一连办公室，法定代表人：王新明。</w:t>
      </w:r>
    </w:p>
    <w:p w14:paraId="5229012D">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经查询国家企业信用信息公示系统经营异常名录、严重违法失信名单（黑名单）、兵团市场监管综合审批平台得知，2020年06月30日，当事人按照《农民专业合作社年度报告公示暂行办法》第四条第一款规定的期限报送并公示2019年年度报告；2021年07月08日，当事人因未按照《农民专业合作社年度报告公示暂行办法》第四条第一款规定的期限报送并公示2020年年度报告，被我局列入经营异常名录；2022年07月04日，当事人因未按照《农民专业合作社年度报告公示暂行办法》第四条第一款规定的期限报送并公示2021年年度报告，被我局列入经营异常名录；2023年06月25日，当事人按照《农民专业合作社年度报告公示暂行办法》第四条第一款规定的期限报送并公示2022年年度报告，同时并补报送2020年、2021年年度报告；2024年07月01日，当事人因未按照《农民专业合作社年度报告公示暂行办法》第四条第一款规定的期限报送并公示2023年年度报告，被我局列入经营异常名录；2025年07月01日，当事人因未按照《农民专业合作社年度报告公示暂行办法》第四条第一款规定的期限报送并公示2024年年度报告，被我局列入经营异常名录；经查询国家企业信用信息公示系统公告信息，暂无当事人市场主体歇业公告信息。</w:t>
      </w:r>
    </w:p>
    <w:p w14:paraId="2DF2F069">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经查，2025年7月17日和2025年8月18日，我局执法人员向当事人登记住所邮寄提醒履行年报义务的专用信函2封，邮件编号分别为XA20429052065、XA20428922665，均因无人签收，无法联系到当事人被新疆维吾尔自治区和田地区墨玉县皮墨垦区（营业）邮政支局退回。</w:t>
      </w:r>
    </w:p>
    <w:p w14:paraId="2AAB50F9">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经查，2025年9月4日，我局依法向国家税务总局昆玉税务局发送《协助核查函》及附件材料（2023年度、2024年度连续两年未年报农专名单），请求国家税务总局昆玉税务局协助查询当事人的涉税信息。2025年9月15日，我局收到国家税务总局昆玉税务局出具的《关于协助核查企业信息的复函》及附件材料（企业信息名单），根据企业信息名单显示，当事人税务状态为未登记，未进行纳税申报。</w:t>
      </w:r>
    </w:p>
    <w:p w14:paraId="3A571480">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经查，2025年7月3日和7月23日，我局执法人员依法对当事人注册登记住所新疆昆玉市昆仑镇47团一连办公室进行核查走访，经四十七团一连副连长核对，该合作社因2020年种植小麦、苜蓿亏损，自2021年以来不再从事经营活动。经现场排查，该住所未发现悬挂有昆玉市昆仑镇沙昆种植养殖专业合作社牌匾的农民专业合作社，四十七团一连实际没有昆玉市昆仑镇沙昆种植养殖专业合作社，该合作社自2021年以来未在该住所从事实际经营活动，四十七团一连自2021年以来没有见过当事人法定代表人王新明，也无法取得联系。经查询国家企业信息公示系统和四十七团一连副连长核对，昆玉市昆仑镇沙昆种植养殖专业合作社（统一社会信用代码：93659009MA789H8Q68）成员名册有10名成员，均不是四十七团一连职工。经四十七团一连核对以及查询国家企业信息公示系统均无法获取当事人成员的联系方式，因此我局无法联系到当事人成员。我局执法人员现场拨打当事人注册登记的联系电话（13709932092），电话显示为空号，我局无法联系到当事人法定代表人王新明。</w:t>
      </w:r>
    </w:p>
    <w:p w14:paraId="13983B0B">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虽然经四十七团一连核对当事人自2021年以来未在注册登记住所从事实际经营活动，但是经查询国家企业信用信息公示系统得知，当事人按照《农民专业合作社年度报告公示暂行办法》第四条第一款规定的期限报送并公示了2019年、2022年年度报告，同时在2023年06月25日补报送了2020年、2021年年度报告，因此执法人员认定当事人从2019年至2022年期间正常开展经营活动，实际未开展经营活动的时间为两年（2023年至2024年）。</w:t>
      </w:r>
    </w:p>
    <w:p w14:paraId="14DBD67D">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综上，当事人从2023年至2024年期间连续两年未开展实际经营活动。</w:t>
      </w:r>
    </w:p>
    <w:p w14:paraId="696592BA">
      <w:pPr>
        <w:keepNext w:val="0"/>
        <w:keepLines w:val="0"/>
        <w:pageBreakBefore w:val="0"/>
        <w:kinsoku/>
        <w:wordWrap/>
        <w:overflowPunct w:val="0"/>
        <w:autoSpaceDE w:val="0"/>
        <w:autoSpaceDN/>
        <w:bidi w:val="0"/>
        <w:adjustRightInd/>
        <w:snapToGrid/>
        <w:spacing w:line="520" w:lineRule="exact"/>
        <w:ind w:lef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本案对照相关法律法规</w:t>
      </w:r>
      <w:r>
        <w:rPr>
          <w:rFonts w:hint="eastAsia" w:ascii="仿宋_GB2312" w:hAnsi="仿宋_GB2312" w:eastAsia="仿宋_GB2312" w:cs="仿宋_GB2312"/>
          <w:color w:val="auto"/>
          <w:sz w:val="32"/>
          <w:szCs w:val="32"/>
          <w:highlight w:val="none"/>
          <w:u w:val="none"/>
        </w:rPr>
        <w:t>，当事人的违法行为尚不构成移送追诉当事人刑事责任的条件。</w:t>
      </w:r>
    </w:p>
    <w:p w14:paraId="512954FD">
      <w:pPr>
        <w:keepNext w:val="0"/>
        <w:keepLines w:val="0"/>
        <w:pageBreakBefore w:val="0"/>
        <w:widowControl w:val="0"/>
        <w:kinsoku/>
        <w:wordWrap/>
        <w:overflowPunct/>
        <w:topLinePunct/>
        <w:autoSpaceDE w:val="0"/>
        <w:autoSpaceDN/>
        <w:bidi w:val="0"/>
        <w:adjustRightInd/>
        <w:snapToGrid/>
        <w:spacing w:line="520" w:lineRule="exact"/>
        <w:ind w:firstLine="643" w:firstLineChars="200"/>
        <w:jc w:val="left"/>
        <w:textAlignment w:val="auto"/>
        <w:rPr>
          <w:rFonts w:hint="eastAsia" w:ascii="Times New Roman" w:hAnsi="Times New Roman" w:eastAsia="仿宋_GB2312" w:cs="Times New Roman"/>
          <w:snapToGrid w:val="0"/>
          <w:color w:val="auto"/>
          <w:spacing w:val="0"/>
          <w:sz w:val="32"/>
          <w:szCs w:val="32"/>
          <w:lang w:eastAsia="zh-CN"/>
        </w:rPr>
      </w:pPr>
      <w:r>
        <w:rPr>
          <w:rFonts w:hint="eastAsia" w:ascii="仿宋_GB2312" w:hAnsi="仿宋_GB2312" w:eastAsia="仿宋_GB2312" w:cs="仿宋_GB2312"/>
          <w:b/>
          <w:bCs/>
          <w:snapToGrid w:val="0"/>
          <w:color w:val="auto"/>
          <w:spacing w:val="0"/>
          <w:sz w:val="32"/>
          <w:szCs w:val="32"/>
        </w:rPr>
        <w:t>上述事实，主要有以下证据证明</w:t>
      </w:r>
      <w:r>
        <w:rPr>
          <w:rFonts w:hint="eastAsia" w:ascii="仿宋_GB2312" w:hAnsi="仿宋_GB2312" w:eastAsia="仿宋_GB2312" w:cs="仿宋_GB2312"/>
          <w:b/>
          <w:bCs/>
          <w:snapToGrid w:val="0"/>
          <w:color w:val="auto"/>
          <w:spacing w:val="0"/>
          <w:sz w:val="32"/>
          <w:szCs w:val="32"/>
          <w:lang w:eastAsia="zh-CN"/>
        </w:rPr>
        <w:t>：</w:t>
      </w:r>
    </w:p>
    <w:p w14:paraId="1F289F0A">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1.我局执法人员2025年7月3日通过国家企业信用信息公示系统依法提取的当事人企业信用信息公示报告一份，证明当事人市场主体信息、当事人信用信息公示基本情况及连续两个年度未按规定报送并公示年度报告的事实；</w:t>
      </w:r>
    </w:p>
    <w:p w14:paraId="16ACA03A">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2.2025年7月3日、2025年7月23日，我局执法人员依法制作现场笔录两份，证明我局执法人员通过登记的住所未发现当事人主体及经营活动和现场无法联系到当事人法定代表人的事实；</w:t>
      </w:r>
    </w:p>
    <w:p w14:paraId="78E86E01">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3.2025年7月3日，我局执法人员依法提取新疆生产建设兵团第十四师昆玉市四十七团一连管理委员会出具的证明一份，证明第十四师昆玉市四十七团一连实际没有昆玉市昆仑镇沙昆种植养殖专业合作社及昆玉市昆仑镇沙昆种植养殖专业合作社从2021年至今未在四十七团一连从事实际经营活动及昆玉市昆仑镇沙昆种植养殖专业合作社十名成员均不是四十七团一连职工的事实；</w:t>
      </w:r>
    </w:p>
    <w:p w14:paraId="4EC5B253">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4.2025年7月3日，我局执法人员依法提取新疆生产建设兵团第十四师昆玉市四十七团一连副连长身份证复印件一份，证明见证人的身份信息；</w:t>
      </w:r>
    </w:p>
    <w:p w14:paraId="64DA8C81">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5.2025年7月3日，我局执法人员依法拍摄的当事人住所现场检查照片9张，证明当事人在注册登记住所未开展任何经营活动的事实；</w:t>
      </w:r>
    </w:p>
    <w:p w14:paraId="3520BF58">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6.我局执法人员于2025年7月17日、2025年8月18日通过邮寄专用信函的方式与当事人联系，经向当事人登记住所两次邮寄专用信函，均因无人签收分别退回，证明我局通过登记住所无法与当事人取得联系的事实；</w:t>
      </w:r>
    </w:p>
    <w:p w14:paraId="1E613871">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7.2025年9月4日，我局依法向国家税务总局昆玉税务局发送《协助核查函》及附件各一份，证明我局依法核实当事人涉税信息及核实税务登记的事实；</w:t>
      </w:r>
    </w:p>
    <w:p w14:paraId="2DB09BA3">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8.2025年9月15日，我局收到国家税务总局昆玉税务局出具的《关于协助核查企业信息的复函》及附件各一份，证明当事人的涉税信息及未办理税务登记及未进行纳税申报的事实。</w:t>
      </w:r>
    </w:p>
    <w:p w14:paraId="33A078A5">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eastAsia" w:ascii="Times New Roman" w:hAnsi="Times New Roman" w:eastAsia="仿宋_GB2312" w:cs="Times New Roman"/>
          <w:snapToGrid w:val="0"/>
          <w:color w:val="auto"/>
          <w:spacing w:val="0"/>
          <w:sz w:val="32"/>
          <w:szCs w:val="32"/>
        </w:rPr>
      </w:pPr>
      <w:r>
        <w:rPr>
          <w:rFonts w:hint="eastAsia" w:ascii="Times New Roman" w:hAnsi="Times New Roman" w:eastAsia="仿宋_GB2312" w:cs="Times New Roman"/>
          <w:snapToGrid w:val="0"/>
          <w:color w:val="auto"/>
          <w:spacing w:val="0"/>
          <w:sz w:val="32"/>
          <w:szCs w:val="32"/>
        </w:rPr>
        <w:t>以上证据材料均依照法定程序提取或收集，均由我局执法人员依法查询，符合法定形式。</w:t>
      </w:r>
    </w:p>
    <w:p w14:paraId="782F1201">
      <w:pPr>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案件办理过程中，我局执法人员在邮寄专用信函时已告知当事人依法享有陈述、申辩的权利，因无人签收，无法联系到当事人被墨玉县皮墨垦区邮政支局退回，我局未收到当事人陈述、申辩材料。2025年11月1</w:t>
      </w:r>
      <w:r>
        <w:rPr>
          <w:rFonts w:hint="eastAsia"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日，我局执法人员依法制作《第十四师市场监督管理局行政处罚告知书》（十四师市监罚告〔2025〕6</w:t>
      </w:r>
      <w:r>
        <w:rPr>
          <w:rFonts w:hint="eastAsia"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号），文书内容包括拟作出的行政处罚内容以及事实、理由、依据，以及当事人依法享有的陈述、申辩</w:t>
      </w:r>
      <w:r>
        <w:rPr>
          <w:rFonts w:hint="eastAsia" w:ascii="Times New Roman" w:hAnsi="Times New Roman" w:eastAsia="仿宋_GB2312" w:cs="Times New Roman"/>
          <w:color w:val="auto"/>
          <w:sz w:val="32"/>
          <w:szCs w:val="32"/>
          <w:lang w:val="en-US" w:eastAsia="zh-CN"/>
        </w:rPr>
        <w:t>以及要求听证</w:t>
      </w:r>
      <w:r>
        <w:rPr>
          <w:rFonts w:hint="default" w:ascii="Times New Roman" w:hAnsi="Times New Roman" w:eastAsia="仿宋_GB2312" w:cs="Times New Roman"/>
          <w:color w:val="auto"/>
          <w:sz w:val="32"/>
          <w:szCs w:val="32"/>
        </w:rPr>
        <w:t>的权利。2025年11月1</w:t>
      </w:r>
      <w:r>
        <w:rPr>
          <w:rFonts w:hint="eastAsia"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日，通过第十四师昆玉市政务网站、国家企业信用信息公示系统发布《第十四师市场监督管理局行政处罚文书送达公告》（第十四师市监罚送告〔2025〕</w:t>
      </w:r>
      <w:r>
        <w:rPr>
          <w:rFonts w:hint="eastAsia" w:ascii="Times New Roman" w:hAnsi="Times New Roman" w:eastAsia="仿宋_GB2312" w:cs="Times New Roman"/>
          <w:color w:val="auto"/>
          <w:sz w:val="32"/>
          <w:szCs w:val="32"/>
          <w:lang w:val="en-US" w:eastAsia="zh-CN"/>
        </w:rPr>
        <w:t>14</w:t>
      </w:r>
      <w:r>
        <w:rPr>
          <w:rFonts w:hint="default" w:ascii="Times New Roman" w:hAnsi="Times New Roman" w:eastAsia="仿宋_GB2312" w:cs="Times New Roman"/>
          <w:color w:val="auto"/>
          <w:sz w:val="32"/>
          <w:szCs w:val="32"/>
        </w:rPr>
        <w:t>号），告知当事人享有陈述、申辩、听证的权利，</w:t>
      </w:r>
      <w:r>
        <w:rPr>
          <w:rFonts w:hint="eastAsia" w:ascii="Times New Roman" w:hAnsi="Times New Roman" w:eastAsia="仿宋_GB2312" w:cs="Times New Roman"/>
          <w:color w:val="auto"/>
          <w:sz w:val="32"/>
          <w:szCs w:val="32"/>
          <w:lang w:val="en-US" w:eastAsia="zh-CN"/>
        </w:rPr>
        <w:t>当事人在法定期限内未</w:t>
      </w:r>
      <w:r>
        <w:rPr>
          <w:rFonts w:hint="default" w:ascii="Times New Roman" w:hAnsi="Times New Roman" w:eastAsia="仿宋_GB2312" w:cs="Times New Roman"/>
          <w:color w:val="auto"/>
          <w:sz w:val="32"/>
          <w:szCs w:val="32"/>
        </w:rPr>
        <w:t>提出陈述、申辩、听证申请。自公告发布之日起三十日内，当事人也未到本局领取《第十四师市场监督管理局行政处罚告知书》（十四师市监罚告〔2025〕6</w:t>
      </w:r>
      <w:r>
        <w:rPr>
          <w:rFonts w:hint="eastAsia"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号）。</w:t>
      </w:r>
    </w:p>
    <w:p w14:paraId="4AE7A0F9">
      <w:pPr>
        <w:keepNext w:val="0"/>
        <w:keepLines w:val="0"/>
        <w:pageBreakBefore w:val="0"/>
        <w:widowControl w:val="0"/>
        <w:kinsoku/>
        <w:wordWrap/>
        <w:overflowPunct/>
        <w:topLinePunct/>
        <w:autoSpaceDE w:val="0"/>
        <w:autoSpaceDN/>
        <w:bidi w:val="0"/>
        <w:adjustRightInd/>
        <w:snapToGrid/>
        <w:spacing w:line="520" w:lineRule="exact"/>
        <w:ind w:firstLine="643" w:firstLineChars="200"/>
        <w:jc w:val="left"/>
        <w:textAlignment w:val="auto"/>
        <w:rPr>
          <w:rFonts w:hint="default" w:ascii="Times New Roman" w:hAnsi="Times New Roman" w:eastAsia="仿宋_GB2312" w:cs="Times New Roman"/>
          <w:color w:val="C00000"/>
          <w:sz w:val="32"/>
          <w:szCs w:val="32"/>
          <w:highlight w:val="none"/>
        </w:rPr>
      </w:pPr>
      <w:r>
        <w:rPr>
          <w:rFonts w:hint="default" w:ascii="Times New Roman" w:hAnsi="Times New Roman" w:eastAsia="仿宋_GB2312" w:cs="Times New Roman"/>
          <w:b/>
          <w:color w:val="auto"/>
          <w:sz w:val="32"/>
          <w:szCs w:val="32"/>
        </w:rPr>
        <w:t>本局认为</w:t>
      </w:r>
      <w:r>
        <w:rPr>
          <w:rFonts w:hint="default" w:ascii="Times New Roman" w:hAnsi="Times New Roman" w:eastAsia="仿宋_GB2312" w:cs="Times New Roman"/>
          <w:bCs/>
          <w:color w:val="auto"/>
          <w:sz w:val="32"/>
          <w:szCs w:val="32"/>
        </w:rPr>
        <w:t>，</w:t>
      </w:r>
      <w:r>
        <w:rPr>
          <w:rFonts w:hint="eastAsia" w:ascii="Times New Roman" w:hAnsi="Times New Roman" w:eastAsia="仿宋_GB2312" w:cs="Times New Roman"/>
          <w:color w:val="auto"/>
          <w:sz w:val="32"/>
          <w:szCs w:val="32"/>
          <w:highlight w:val="none"/>
        </w:rPr>
        <w:t>当事人连续</w:t>
      </w:r>
      <w:r>
        <w:rPr>
          <w:rFonts w:hint="eastAsia" w:ascii="Times New Roman" w:hAnsi="Times New Roman" w:eastAsia="仿宋_GB2312" w:cs="Times New Roman"/>
          <w:color w:val="auto"/>
          <w:sz w:val="32"/>
          <w:szCs w:val="32"/>
          <w:highlight w:val="none"/>
          <w:lang w:val="en-US" w:eastAsia="zh-CN"/>
        </w:rPr>
        <w:t>两</w:t>
      </w:r>
      <w:r>
        <w:rPr>
          <w:rFonts w:hint="eastAsia" w:ascii="Times New Roman" w:hAnsi="Times New Roman" w:eastAsia="仿宋_GB2312" w:cs="Times New Roman"/>
          <w:color w:val="auto"/>
          <w:sz w:val="32"/>
          <w:szCs w:val="32"/>
          <w:highlight w:val="none"/>
        </w:rPr>
        <w:t>年未开展</w:t>
      </w:r>
      <w:r>
        <w:rPr>
          <w:rFonts w:hint="eastAsia" w:ascii="Times New Roman" w:hAnsi="Times New Roman" w:eastAsia="仿宋_GB2312" w:cs="Times New Roman"/>
          <w:color w:val="auto"/>
          <w:sz w:val="32"/>
          <w:szCs w:val="32"/>
          <w:highlight w:val="none"/>
          <w:lang w:val="en-US" w:eastAsia="zh-CN"/>
        </w:rPr>
        <w:t>实际</w:t>
      </w:r>
      <w:r>
        <w:rPr>
          <w:rFonts w:hint="eastAsia" w:ascii="Times New Roman" w:hAnsi="Times New Roman" w:eastAsia="仿宋_GB2312" w:cs="Times New Roman"/>
          <w:color w:val="auto"/>
          <w:sz w:val="32"/>
          <w:szCs w:val="32"/>
          <w:highlight w:val="none"/>
        </w:rPr>
        <w:t>经营活动的行为，违反了《中华人民共和国农民专业合作社法》第七十一条“农民专业合作社连续两年未从事经营活动的，吊销其营业执照。”的规定，</w:t>
      </w:r>
      <w:r>
        <w:rPr>
          <w:rFonts w:hint="eastAsia" w:ascii="Times New Roman" w:hAnsi="Times New Roman" w:eastAsia="仿宋_GB2312" w:cs="Times New Roman"/>
          <w:color w:val="auto"/>
          <w:sz w:val="32"/>
          <w:szCs w:val="32"/>
          <w:highlight w:val="none"/>
          <w:lang w:val="en-US" w:eastAsia="zh-CN"/>
        </w:rPr>
        <w:t>构成</w:t>
      </w:r>
      <w:r>
        <w:rPr>
          <w:rFonts w:hint="eastAsia" w:ascii="Times New Roman" w:hAnsi="Times New Roman" w:eastAsia="仿宋_GB2312" w:cs="Times New Roman"/>
          <w:color w:val="auto"/>
          <w:sz w:val="32"/>
          <w:szCs w:val="32"/>
          <w:highlight w:val="none"/>
        </w:rPr>
        <w:t>连续</w:t>
      </w:r>
      <w:r>
        <w:rPr>
          <w:rFonts w:hint="eastAsia" w:ascii="Times New Roman" w:hAnsi="Times New Roman" w:eastAsia="仿宋_GB2312" w:cs="Times New Roman"/>
          <w:color w:val="auto"/>
          <w:sz w:val="32"/>
          <w:szCs w:val="32"/>
          <w:highlight w:val="none"/>
          <w:lang w:val="en-US" w:eastAsia="zh-CN"/>
        </w:rPr>
        <w:t>两</w:t>
      </w:r>
      <w:r>
        <w:rPr>
          <w:rFonts w:hint="eastAsia" w:ascii="Times New Roman" w:hAnsi="Times New Roman" w:eastAsia="仿宋_GB2312" w:cs="Times New Roman"/>
          <w:color w:val="auto"/>
          <w:sz w:val="32"/>
          <w:szCs w:val="32"/>
          <w:highlight w:val="none"/>
        </w:rPr>
        <w:t>年未从事经营活动的违法行为。依据</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》第七十一条“农民专业合作社连续两年未从事经营活动的，吊销其营业执照。”的规定</w:t>
      </w:r>
      <w:r>
        <w:rPr>
          <w:rFonts w:hint="default"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本局</w:t>
      </w:r>
      <w:r>
        <w:rPr>
          <w:rFonts w:hint="default" w:ascii="Times New Roman" w:hAnsi="Times New Roman" w:eastAsia="仿宋_GB2312" w:cs="Times New Roman"/>
          <w:color w:val="auto"/>
          <w:sz w:val="32"/>
          <w:szCs w:val="32"/>
        </w:rPr>
        <w:t>应当</w:t>
      </w:r>
      <w:r>
        <w:rPr>
          <w:rFonts w:hint="eastAsia" w:ascii="仿宋_GB2312" w:hAnsi="仿宋_GB2312" w:eastAsia="仿宋_GB2312" w:cs="仿宋_GB2312"/>
          <w:bCs/>
          <w:color w:val="auto"/>
          <w:sz w:val="32"/>
          <w:szCs w:val="32"/>
          <w:highlight w:val="none"/>
          <w:lang w:val="en-US" w:eastAsia="zh-CN"/>
        </w:rPr>
        <w:t>吊销</w:t>
      </w:r>
      <w:r>
        <w:rPr>
          <w:rFonts w:hint="eastAsia" w:ascii="仿宋_GB2312" w:hAnsi="仿宋_GB2312" w:eastAsia="仿宋_GB2312" w:cs="仿宋_GB2312"/>
          <w:color w:val="auto"/>
          <w:spacing w:val="-6"/>
          <w:sz w:val="32"/>
          <w:szCs w:val="32"/>
          <w:highlight w:val="none"/>
          <w:u w:val="none"/>
          <w:lang w:val="en-US" w:eastAsia="zh-CN"/>
        </w:rPr>
        <w:t>当事人的营业执照</w:t>
      </w:r>
      <w:r>
        <w:rPr>
          <w:rFonts w:hint="default" w:ascii="Times New Roman" w:hAnsi="Times New Roman" w:eastAsia="仿宋_GB2312" w:cs="Times New Roman"/>
          <w:color w:val="auto"/>
          <w:sz w:val="32"/>
          <w:szCs w:val="32"/>
          <w:highlight w:val="none"/>
        </w:rPr>
        <w:t>。</w:t>
      </w:r>
    </w:p>
    <w:p w14:paraId="27E16ECD">
      <w:pPr>
        <w:pStyle w:val="6"/>
        <w:keepNext w:val="0"/>
        <w:keepLines w:val="0"/>
        <w:pageBreakBefore w:val="0"/>
        <w:widowControl w:val="0"/>
        <w:kinsoku/>
        <w:wordWrap/>
        <w:overflowPunct/>
        <w:topLinePunct/>
        <w:autoSpaceDE w:val="0"/>
        <w:autoSpaceDN/>
        <w:bidi w:val="0"/>
        <w:adjustRightInd/>
        <w:snapToGrid/>
        <w:spacing w:line="520" w:lineRule="exact"/>
        <w:ind w:firstLine="640"/>
        <w:jc w:val="left"/>
        <w:textAlignment w:val="auto"/>
        <w:rPr>
          <w:rFonts w:hint="eastAsia" w:ascii="仿宋_GB2312" w:hAnsi="仿宋_GB2312" w:eastAsia="仿宋_GB2312" w:cs="仿宋_GB2312"/>
          <w:color w:val="auto"/>
          <w:spacing w:val="0"/>
          <w:w w:val="100"/>
          <w:sz w:val="32"/>
          <w:szCs w:val="32"/>
          <w:highlight w:val="none"/>
          <w:u w:val="none" w:color="auto"/>
          <w:shd w:val="clear" w:color="auto" w:fill="auto"/>
          <w:lang w:val="en-US" w:eastAsia="zh-CN"/>
        </w:rPr>
      </w:pPr>
      <w:r>
        <w:rPr>
          <w:rFonts w:hint="eastAsia" w:ascii="仿宋_GB2312" w:hAnsi="仿宋_GB2312" w:eastAsia="仿宋_GB2312" w:cs="仿宋_GB2312"/>
          <w:color w:val="auto"/>
          <w:spacing w:val="0"/>
          <w:w w:val="100"/>
          <w:sz w:val="32"/>
          <w:szCs w:val="32"/>
          <w:highlight w:val="none"/>
          <w:u w:val="none" w:color="auto"/>
          <w:shd w:val="clear" w:color="auto" w:fill="auto"/>
          <w:lang w:val="en-US" w:eastAsia="zh-CN"/>
        </w:rPr>
        <w:t>当事人</w:t>
      </w:r>
      <w:r>
        <w:rPr>
          <w:rFonts w:hint="eastAsia" w:ascii="仿宋_GB2312" w:hAnsi="仿宋_GB2312" w:eastAsia="仿宋_GB2312" w:cs="仿宋_GB2312"/>
          <w:color w:val="auto"/>
          <w:sz w:val="32"/>
          <w:szCs w:val="32"/>
          <w:highlight w:val="none"/>
          <w:u w:val="none"/>
          <w:lang w:val="en-US" w:eastAsia="zh-CN"/>
        </w:rPr>
        <w:t>连续两年未开展实际经营活动，扰乱了市场主体登记管理秩序，且《新疆维吾尔自治区 新疆生产建设兵团市场监督管理行政处罚裁量权适用规定》及《新疆维吾尔自治区 新疆生产建设兵团市场监督管理行政处罚裁量基准（</w:t>
      </w:r>
      <w:r>
        <w:rPr>
          <w:rFonts w:hint="eastAsia" w:ascii="Times New Roman" w:hAnsi="Times New Roman" w:eastAsia="仿宋_GB2312" w:cs="Times New Roman"/>
          <w:color w:val="auto"/>
          <w:sz w:val="32"/>
          <w:szCs w:val="32"/>
          <w:lang w:val="en-US" w:eastAsia="zh-CN" w:bidi="ar-SA"/>
        </w:rPr>
        <w:t>2024</w:t>
      </w:r>
      <w:r>
        <w:rPr>
          <w:rFonts w:hint="eastAsia" w:ascii="仿宋_GB2312" w:hAnsi="仿宋_GB2312" w:eastAsia="仿宋_GB2312" w:cs="仿宋_GB2312"/>
          <w:color w:val="auto"/>
          <w:sz w:val="32"/>
          <w:szCs w:val="32"/>
          <w:highlight w:val="none"/>
          <w:u w:val="none"/>
          <w:lang w:val="en-US" w:eastAsia="zh-CN"/>
        </w:rPr>
        <w:t>年版）》未对当事人的该类型违法行为作出自由裁量，因此</w:t>
      </w:r>
      <w:r>
        <w:rPr>
          <w:rFonts w:hint="eastAsia" w:ascii="仿宋_GB2312" w:hAnsi="仿宋_GB2312" w:eastAsia="仿宋_GB2312" w:cs="仿宋_GB2312"/>
          <w:color w:val="auto"/>
          <w:spacing w:val="0"/>
          <w:w w:val="100"/>
          <w:sz w:val="32"/>
          <w:szCs w:val="32"/>
          <w:highlight w:val="none"/>
          <w:u w:val="none" w:color="auto"/>
          <w:shd w:val="clear" w:color="auto" w:fill="auto"/>
          <w:lang w:val="en-US" w:eastAsia="zh-CN"/>
        </w:rPr>
        <w:t>违法行为人不具备不予行政处罚、减轻、从轻行政处罚的情形。</w:t>
      </w:r>
    </w:p>
    <w:p w14:paraId="35A53564">
      <w:pPr>
        <w:pStyle w:val="6"/>
        <w:keepNext w:val="0"/>
        <w:keepLines w:val="0"/>
        <w:pageBreakBefore w:val="0"/>
        <w:widowControl w:val="0"/>
        <w:kinsoku/>
        <w:wordWrap/>
        <w:overflowPunct/>
        <w:topLinePunct/>
        <w:autoSpaceDE w:val="0"/>
        <w:autoSpaceDN/>
        <w:bidi w:val="0"/>
        <w:adjustRightInd/>
        <w:snapToGrid/>
        <w:spacing w:line="520" w:lineRule="exact"/>
        <w:ind w:firstLine="640"/>
        <w:jc w:val="left"/>
        <w:textAlignment w:val="auto"/>
        <w:rPr>
          <w:rFonts w:hint="default" w:ascii="Times New Roman" w:hAnsi="Times New Roman" w:eastAsia="仿宋_GB2312" w:cs="Times New Roman"/>
          <w:snapToGrid w:val="0"/>
          <w:color w:val="auto"/>
          <w:spacing w:val="0"/>
          <w:sz w:val="32"/>
          <w:szCs w:val="32"/>
          <w:highlight w:val="none"/>
        </w:rPr>
      </w:pPr>
      <w:r>
        <w:rPr>
          <w:rFonts w:hint="default" w:ascii="Times New Roman" w:hAnsi="Times New Roman" w:eastAsia="仿宋_GB2312" w:cs="Times New Roman"/>
          <w:snapToGrid w:val="0"/>
          <w:color w:val="auto"/>
          <w:spacing w:val="0"/>
          <w:sz w:val="32"/>
          <w:szCs w:val="32"/>
        </w:rPr>
        <w:t>综上，当事人</w:t>
      </w:r>
      <w:r>
        <w:rPr>
          <w:rFonts w:hint="eastAsia" w:ascii="Times New Roman" w:hAnsi="Times New Roman" w:eastAsia="仿宋_GB2312" w:cs="Times New Roman"/>
          <w:snapToGrid w:val="0"/>
          <w:color w:val="auto"/>
          <w:spacing w:val="0"/>
          <w:sz w:val="32"/>
          <w:szCs w:val="32"/>
          <w:lang w:val="en-US" w:eastAsia="zh-CN"/>
        </w:rPr>
        <w:t>的</w:t>
      </w:r>
      <w:r>
        <w:rPr>
          <w:rFonts w:hint="default" w:ascii="Times New Roman" w:hAnsi="Times New Roman" w:eastAsia="仿宋_GB2312" w:cs="Times New Roman"/>
          <w:color w:val="auto"/>
          <w:sz w:val="32"/>
          <w:szCs w:val="32"/>
          <w:highlight w:val="none"/>
          <w:u w:val="none"/>
          <w:lang w:val="en-US" w:eastAsia="zh-CN"/>
        </w:rPr>
        <w:t>行为</w:t>
      </w:r>
      <w:r>
        <w:rPr>
          <w:rFonts w:hint="default" w:ascii="Times New Roman" w:hAnsi="Times New Roman" w:eastAsia="仿宋_GB2312" w:cs="Times New Roman"/>
          <w:snapToGrid w:val="0"/>
          <w:color w:val="auto"/>
          <w:spacing w:val="0"/>
          <w:sz w:val="32"/>
          <w:szCs w:val="32"/>
        </w:rPr>
        <w:t>违反了《中华人民共和国农民专业合作社法》第七十一条的规定，依据《中华人民共和国农民专业合作社法》第七十一条的规定，</w:t>
      </w:r>
      <w:r>
        <w:rPr>
          <w:rFonts w:hint="eastAsia" w:ascii="Times New Roman" w:hAnsi="Times New Roman" w:eastAsia="仿宋_GB2312" w:cs="Times New Roman"/>
          <w:snapToGrid w:val="0"/>
          <w:color w:val="auto"/>
          <w:spacing w:val="0"/>
          <w:sz w:val="32"/>
          <w:szCs w:val="32"/>
          <w:lang w:val="en-US" w:eastAsia="zh-CN"/>
        </w:rPr>
        <w:t>本局决定对当事人作出处罚如下</w:t>
      </w:r>
      <w:r>
        <w:rPr>
          <w:rFonts w:hint="default" w:ascii="Times New Roman" w:hAnsi="Times New Roman" w:eastAsia="仿宋_GB2312" w:cs="Times New Roman"/>
          <w:snapToGrid w:val="0"/>
          <w:color w:val="auto"/>
          <w:spacing w:val="0"/>
          <w:sz w:val="32"/>
          <w:szCs w:val="32"/>
        </w:rPr>
        <w:t>：</w:t>
      </w:r>
    </w:p>
    <w:p w14:paraId="662CD6BF">
      <w:pPr>
        <w:pStyle w:val="6"/>
        <w:keepNext w:val="0"/>
        <w:keepLines w:val="0"/>
        <w:pageBreakBefore w:val="0"/>
        <w:widowControl w:val="0"/>
        <w:kinsoku/>
        <w:wordWrap/>
        <w:overflowPunct/>
        <w:topLinePunct/>
        <w:autoSpaceDE w:val="0"/>
        <w:autoSpaceDN/>
        <w:bidi w:val="0"/>
        <w:adjustRightInd/>
        <w:snapToGrid/>
        <w:spacing w:line="520" w:lineRule="exact"/>
        <w:ind w:firstLine="640" w:firstLineChars="200"/>
        <w:jc w:val="left"/>
        <w:textAlignment w:val="auto"/>
        <w:rPr>
          <w:rFonts w:ascii="Times New Roman" w:hAnsi="Times New Roman" w:eastAsia="仿宋_GB2312" w:cs="Times New Roman"/>
          <w:color w:val="auto"/>
          <w:sz w:val="32"/>
          <w:szCs w:val="32"/>
          <w:highlight w:val="none"/>
        </w:rPr>
      </w:pPr>
      <w:r>
        <w:rPr>
          <w:rFonts w:hint="default" w:ascii="Times New Roman" w:hAnsi="Times New Roman" w:eastAsia="仿宋_GB2312" w:cs="Times New Roman"/>
          <w:snapToGrid w:val="0"/>
          <w:color w:val="auto"/>
          <w:spacing w:val="0"/>
          <w:sz w:val="32"/>
          <w:szCs w:val="32"/>
        </w:rPr>
        <w:t>吊销昆玉市昆仑镇沙昆种植养殖专业合作社（统一社会信用代码：93659009MA789H8Q68）的营业执照。</w:t>
      </w:r>
    </w:p>
    <w:p w14:paraId="76964019">
      <w:pPr>
        <w:pStyle w:val="7"/>
        <w:keepNext w:val="0"/>
        <w:keepLines w:val="0"/>
        <w:pageBreakBefore w:val="0"/>
        <w:widowControl w:val="0"/>
        <w:kinsoku/>
        <w:wordWrap/>
        <w:overflowPunct/>
        <w:topLinePunct/>
        <w:autoSpaceDE w:val="0"/>
        <w:autoSpaceDN/>
        <w:bidi w:val="0"/>
        <w:adjustRightInd/>
        <w:snapToGrid/>
        <w:spacing w:line="520" w:lineRule="exact"/>
        <w:ind w:firstLine="64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snapToGrid w:val="0"/>
          <w:color w:val="auto"/>
          <w:sz w:val="32"/>
          <w:szCs w:val="32"/>
          <w:highlight w:val="none"/>
          <w:lang w:val="en-US" w:eastAsia="zh-CN" w:bidi="ar-SA"/>
        </w:rPr>
        <w:t>如你（单位）不服</w:t>
      </w:r>
      <w:r>
        <w:rPr>
          <w:rFonts w:hint="eastAsia" w:ascii="Times New Roman" w:hAnsi="Times New Roman" w:cs="Times New Roman"/>
          <w:snapToGrid w:val="0"/>
          <w:color w:val="auto"/>
          <w:sz w:val="32"/>
          <w:szCs w:val="32"/>
          <w:highlight w:val="none"/>
          <w:lang w:val="en-US" w:eastAsia="zh-CN" w:bidi="ar-SA"/>
        </w:rPr>
        <w:t>本</w:t>
      </w:r>
      <w:r>
        <w:rPr>
          <w:rFonts w:hint="default" w:ascii="Times New Roman" w:hAnsi="Times New Roman" w:eastAsia="仿宋_GB2312" w:cs="Times New Roman"/>
          <w:color w:val="auto"/>
          <w:kern w:val="2"/>
          <w:sz w:val="32"/>
          <w:szCs w:val="32"/>
          <w:highlight w:val="none"/>
        </w:rPr>
        <w:t>行政处罚决定，可</w:t>
      </w:r>
      <w:r>
        <w:rPr>
          <w:rFonts w:hint="eastAsia" w:ascii="Times New Roman" w:hAnsi="Times New Roman" w:cs="Times New Roman"/>
          <w:color w:val="auto"/>
          <w:kern w:val="2"/>
          <w:sz w:val="32"/>
          <w:szCs w:val="32"/>
          <w:highlight w:val="none"/>
          <w:lang w:val="en-US" w:eastAsia="zh-CN"/>
        </w:rPr>
        <w:t>以</w:t>
      </w:r>
      <w:r>
        <w:rPr>
          <w:rFonts w:hint="default" w:ascii="Times New Roman" w:hAnsi="Times New Roman" w:eastAsia="仿宋_GB2312" w:cs="Times New Roman"/>
          <w:color w:val="auto"/>
          <w:kern w:val="2"/>
          <w:sz w:val="32"/>
          <w:szCs w:val="32"/>
          <w:highlight w:val="none"/>
        </w:rPr>
        <w:t>在收到本决定书之日起</w:t>
      </w:r>
      <w:r>
        <w:rPr>
          <w:rFonts w:hint="default" w:ascii="Times New Roman" w:hAnsi="Times New Roman" w:eastAsia="仿宋_GB2312" w:cs="Times New Roman"/>
          <w:color w:val="auto"/>
          <w:kern w:val="2"/>
          <w:sz w:val="32"/>
          <w:szCs w:val="32"/>
          <w:highlight w:val="none"/>
          <w:u w:val="single"/>
        </w:rPr>
        <w:t>六十日</w:t>
      </w:r>
      <w:r>
        <w:rPr>
          <w:rFonts w:hint="default" w:ascii="Times New Roman" w:hAnsi="Times New Roman" w:eastAsia="仿宋_GB2312" w:cs="Times New Roman"/>
          <w:color w:val="auto"/>
          <w:kern w:val="2"/>
          <w:sz w:val="32"/>
          <w:szCs w:val="32"/>
          <w:highlight w:val="none"/>
        </w:rPr>
        <w:t>内向</w:t>
      </w:r>
      <w:r>
        <w:rPr>
          <w:rFonts w:hint="default" w:ascii="Times New Roman" w:hAnsi="Times New Roman" w:eastAsia="仿宋_GB2312" w:cs="Times New Roman"/>
          <w:color w:val="auto"/>
          <w:kern w:val="2"/>
          <w:sz w:val="32"/>
          <w:szCs w:val="32"/>
          <w:highlight w:val="none"/>
          <w:u w:val="single"/>
        </w:rPr>
        <w:t>第十四师</w:t>
      </w:r>
      <w:r>
        <w:rPr>
          <w:rFonts w:hint="default" w:ascii="Times New Roman" w:hAnsi="Times New Roman" w:eastAsia="仿宋_GB2312" w:cs="Times New Roman"/>
          <w:color w:val="auto"/>
          <w:kern w:val="2"/>
          <w:sz w:val="32"/>
          <w:szCs w:val="32"/>
          <w:highlight w:val="none"/>
        </w:rPr>
        <w:t>申请行政复议，</w:t>
      </w:r>
      <w:r>
        <w:rPr>
          <w:rFonts w:hint="default" w:ascii="Times New Roman" w:hAnsi="Times New Roman" w:eastAsia="仿宋_GB2312" w:cs="Times New Roman"/>
          <w:color w:val="auto"/>
          <w:sz w:val="32"/>
          <w:szCs w:val="32"/>
          <w:highlight w:val="none"/>
        </w:rPr>
        <w:t>也可以在</w:t>
      </w:r>
      <w:r>
        <w:rPr>
          <w:rFonts w:hint="default" w:ascii="Times New Roman" w:hAnsi="Times New Roman" w:eastAsia="仿宋_GB2312" w:cs="Times New Roman"/>
          <w:color w:val="auto"/>
          <w:sz w:val="32"/>
          <w:szCs w:val="32"/>
          <w:highlight w:val="none"/>
          <w:u w:val="single"/>
        </w:rPr>
        <w:t>六个月</w:t>
      </w:r>
      <w:r>
        <w:rPr>
          <w:rFonts w:hint="default" w:ascii="Times New Roman" w:hAnsi="Times New Roman" w:eastAsia="仿宋_GB2312" w:cs="Times New Roman"/>
          <w:color w:val="auto"/>
          <w:sz w:val="32"/>
          <w:szCs w:val="32"/>
          <w:highlight w:val="none"/>
        </w:rPr>
        <w:t>内依法向</w:t>
      </w:r>
      <w:r>
        <w:rPr>
          <w:rFonts w:hint="default" w:ascii="Times New Roman" w:hAnsi="Times New Roman" w:eastAsia="仿宋_GB2312" w:cs="Times New Roman"/>
          <w:color w:val="auto"/>
          <w:sz w:val="32"/>
          <w:szCs w:val="32"/>
          <w:highlight w:val="none"/>
          <w:u w:val="single"/>
          <w:lang w:val="en-US" w:eastAsia="zh-CN"/>
        </w:rPr>
        <w:t>新疆生产建设兵团</w:t>
      </w:r>
      <w:r>
        <w:rPr>
          <w:rFonts w:hint="default" w:ascii="Times New Roman" w:hAnsi="Times New Roman" w:eastAsia="仿宋_GB2312" w:cs="Times New Roman"/>
          <w:color w:val="auto"/>
          <w:sz w:val="32"/>
          <w:szCs w:val="32"/>
          <w:highlight w:val="none"/>
          <w:u w:val="single"/>
        </w:rPr>
        <w:t>和田垦区人民法院</w:t>
      </w:r>
      <w:r>
        <w:rPr>
          <w:rFonts w:hint="default" w:ascii="Times New Roman" w:hAnsi="Times New Roman" w:eastAsia="仿宋_GB2312" w:cs="Times New Roman"/>
          <w:color w:val="auto"/>
          <w:sz w:val="32"/>
          <w:szCs w:val="32"/>
          <w:highlight w:val="none"/>
        </w:rPr>
        <w:t>提起行政诉讼。复议和诉讼期间，行政处罚不停止执行。</w:t>
      </w:r>
    </w:p>
    <w:p w14:paraId="161965B1">
      <w:pPr>
        <w:pStyle w:val="7"/>
        <w:keepNext w:val="0"/>
        <w:keepLines w:val="0"/>
        <w:pageBreakBefore w:val="0"/>
        <w:widowControl w:val="0"/>
        <w:kinsoku/>
        <w:wordWrap/>
        <w:overflowPunct/>
        <w:topLinePunct/>
        <w:autoSpaceDE w:val="0"/>
        <w:autoSpaceDN/>
        <w:bidi w:val="0"/>
        <w:adjustRightInd/>
        <w:snapToGrid/>
        <w:spacing w:line="560" w:lineRule="exact"/>
        <w:ind w:left="0" w:leftChars="0" w:firstLine="0" w:firstLineChars="0"/>
        <w:jc w:val="left"/>
        <w:textAlignment w:val="auto"/>
        <w:rPr>
          <w:rFonts w:hint="default" w:ascii="Times New Roman" w:hAnsi="Times New Roman" w:eastAsia="仿宋_GB2312" w:cs="Times New Roman"/>
          <w:color w:val="auto"/>
          <w:sz w:val="32"/>
          <w:szCs w:val="32"/>
        </w:rPr>
      </w:pPr>
    </w:p>
    <w:p w14:paraId="1A297288">
      <w:pPr>
        <w:pStyle w:val="6"/>
        <w:ind w:left="0" w:leftChars="0" w:firstLine="0" w:firstLineChars="0"/>
      </w:pPr>
    </w:p>
    <w:p w14:paraId="6CF3671F">
      <w:pPr>
        <w:widowControl w:val="0"/>
        <w:tabs>
          <w:tab w:val="left" w:pos="5667"/>
        </w:tabs>
        <w:kinsoku/>
        <w:topLinePunct/>
        <w:autoSpaceDN/>
        <w:spacing w:line="560" w:lineRule="atLeast"/>
        <w:ind w:firstLine="3817" w:firstLineChars="1193"/>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第十四师市场监督管理局 </w:t>
      </w:r>
    </w:p>
    <w:p w14:paraId="3BC7029B">
      <w:pPr>
        <w:widowControl w:val="0"/>
        <w:tabs>
          <w:tab w:val="left" w:pos="5667"/>
        </w:tabs>
        <w:kinsoku/>
        <w:topLinePunct/>
        <w:autoSpaceDN/>
        <w:spacing w:line="560" w:lineRule="atLeast"/>
        <w:ind w:firstLine="5120" w:firstLineChars="1600"/>
        <w:rPr>
          <w:rFonts w:ascii="仿宋_GB2312" w:hAnsi="仿宋_GB2312" w:eastAsia="仿宋_GB2312" w:cs="仿宋_GB2312"/>
          <w:sz w:val="32"/>
          <w:szCs w:val="32"/>
        </w:rPr>
      </w:pPr>
      <w:r>
        <w:rPr>
          <w:rFonts w:hint="eastAsia" w:ascii="仿宋_GB2312" w:hAnsi="仿宋_GB2312" w:eastAsia="仿宋_GB2312" w:cs="仿宋_GB2312"/>
          <w:sz w:val="32"/>
          <w:szCs w:val="32"/>
        </w:rPr>
        <w:t>（ 印 章 ）</w:t>
      </w:r>
    </w:p>
    <w:p w14:paraId="27A5A74D">
      <w:pPr>
        <w:widowControl w:val="0"/>
        <w:kinsoku/>
        <w:topLinePunct/>
        <w:autoSpaceDN/>
        <w:spacing w:line="560" w:lineRule="atLeast"/>
        <w:ind w:firstLine="4480" w:firstLineChars="1400"/>
        <w:rPr>
          <w:rFonts w:ascii="黑体" w:hAnsi="黑体" w:eastAsia="黑体" w:cs="黑体"/>
          <w:color w:val="231F20"/>
          <w:spacing w:val="-31"/>
          <w:w w:val="119"/>
          <w:sz w:val="32"/>
          <w:szCs w:val="32"/>
        </w:rPr>
      </w:pPr>
      <w:r>
        <w:rPr>
          <w:rFonts w:hint="eastAsia" w:ascii="Times New Roman" w:hAnsi="Times New Roman" w:eastAsia="仿宋_GB2312" w:cs="Times New Roman"/>
          <w:snapToGrid w:val="0"/>
          <w:color w:val="auto"/>
          <w:spacing w:val="0"/>
          <w:sz w:val="32"/>
          <w:szCs w:val="32"/>
          <w:lang w:val="en-US" w:eastAsia="zh-CN" w:bidi="ar-SA"/>
        </w:rPr>
        <w:t>2</w:t>
      </w:r>
      <w:r>
        <w:rPr>
          <w:rFonts w:hint="default" w:ascii="Times New Roman" w:hAnsi="Times New Roman" w:eastAsia="仿宋_GB2312" w:cs="Times New Roman"/>
          <w:snapToGrid w:val="0"/>
          <w:color w:val="auto"/>
          <w:spacing w:val="0"/>
          <w:sz w:val="32"/>
          <w:szCs w:val="32"/>
          <w:lang w:val="en-US" w:eastAsia="zh-CN" w:bidi="ar-SA"/>
        </w:rPr>
        <w:t>02</w:t>
      </w:r>
      <w:r>
        <w:rPr>
          <w:rFonts w:hint="eastAsia" w:ascii="Times New Roman" w:hAnsi="Times New Roman" w:eastAsia="仿宋_GB2312" w:cs="Times New Roman"/>
          <w:snapToGrid w:val="0"/>
          <w:color w:val="auto"/>
          <w:spacing w:val="0"/>
          <w:sz w:val="32"/>
          <w:szCs w:val="32"/>
          <w:lang w:val="en-US" w:eastAsia="zh-CN" w:bidi="ar-SA"/>
        </w:rPr>
        <w:t>5</w:t>
      </w:r>
      <w:r>
        <w:rPr>
          <w:rFonts w:hint="eastAsia" w:ascii="仿宋_GB2312" w:hAnsi="仿宋_GB2312" w:eastAsia="仿宋_GB2312" w:cs="仿宋_GB2312"/>
          <w:color w:val="auto"/>
          <w:sz w:val="32"/>
          <w:szCs w:val="32"/>
        </w:rPr>
        <w:t>年</w:t>
      </w:r>
      <w:r>
        <w:rPr>
          <w:rFonts w:hint="eastAsia" w:ascii="Times New Roman" w:hAnsi="Times New Roman" w:eastAsia="仿宋_GB2312" w:cs="Times New Roman"/>
          <w:snapToGrid w:val="0"/>
          <w:color w:val="auto"/>
          <w:spacing w:val="0"/>
          <w:sz w:val="32"/>
          <w:szCs w:val="32"/>
          <w:lang w:val="en-US" w:eastAsia="zh-CN" w:bidi="ar-SA"/>
        </w:rPr>
        <w:t>12</w:t>
      </w:r>
      <w:r>
        <w:rPr>
          <w:rFonts w:hint="eastAsia" w:ascii="仿宋_GB2312" w:hAnsi="仿宋_GB2312" w:eastAsia="仿宋_GB2312" w:cs="仿宋_GB2312"/>
          <w:color w:val="auto"/>
          <w:sz w:val="32"/>
          <w:szCs w:val="32"/>
        </w:rPr>
        <w:t>月</w:t>
      </w:r>
      <w:r>
        <w:rPr>
          <w:rFonts w:hint="eastAsia" w:ascii="Times New Roman" w:hAnsi="Times New Roman" w:eastAsia="仿宋_GB2312" w:cs="Times New Roman"/>
          <w:snapToGrid w:val="0"/>
          <w:color w:val="auto"/>
          <w:spacing w:val="0"/>
          <w:sz w:val="32"/>
          <w:szCs w:val="32"/>
          <w:lang w:val="en-US" w:eastAsia="zh-CN" w:bidi="ar-SA"/>
        </w:rPr>
        <w:t>25</w:t>
      </w:r>
      <w:r>
        <w:rPr>
          <w:rFonts w:hint="eastAsia" w:ascii="仿宋_GB2312" w:hAnsi="仿宋_GB2312" w:eastAsia="仿宋_GB2312" w:cs="仿宋_GB2312"/>
          <w:color w:val="auto"/>
          <w:sz w:val="32"/>
          <w:szCs w:val="32"/>
        </w:rPr>
        <w:t>日</w:t>
      </w:r>
    </w:p>
    <w:p w14:paraId="647FB6F4">
      <w:pPr>
        <w:widowControl w:val="0"/>
        <w:kinsoku/>
        <w:topLinePunct/>
        <w:autoSpaceDN/>
        <w:spacing w:line="560" w:lineRule="atLeast"/>
        <w:rPr>
          <w:rFonts w:ascii="黑体" w:hAnsi="黑体" w:eastAsia="黑体" w:cs="黑体"/>
          <w:color w:val="231F20"/>
          <w:spacing w:val="-31"/>
          <w:w w:val="119"/>
          <w:sz w:val="32"/>
          <w:szCs w:val="32"/>
        </w:rPr>
      </w:pPr>
      <w:r>
        <w:rPr>
          <w:rFonts w:ascii="黑体" w:hAnsi="黑体" w:eastAsia="黑体" w:cs="黑体"/>
          <w:color w:val="231F20"/>
          <w:spacing w:val="-31"/>
          <w:w w:val="119"/>
          <w:sz w:val="32"/>
          <w:szCs w:val="32"/>
        </w:rPr>
        <w:t>（市场监督管理部门将依法向社会公开行政处罚决定信息）</w:t>
      </w:r>
    </w:p>
    <w:p w14:paraId="2129F00B">
      <w:pPr>
        <w:widowControl w:val="0"/>
        <w:kinsoku/>
        <w:topLinePunct/>
        <w:autoSpaceDN/>
        <w:spacing w:line="560" w:lineRule="atLeast"/>
      </w:pPr>
      <w:r>
        <w:drawing>
          <wp:inline distT="0" distB="0" distL="0" distR="0">
            <wp:extent cx="5550535" cy="15875"/>
            <wp:effectExtent l="0" t="0" r="0" b="0"/>
            <wp:docPr id="1" name="IM 229"/>
            <wp:cNvGraphicFramePr/>
            <a:graphic xmlns:a="http://schemas.openxmlformats.org/drawingml/2006/main">
              <a:graphicData uri="http://schemas.openxmlformats.org/drawingml/2006/picture">
                <pic:pic xmlns:pic="http://schemas.openxmlformats.org/drawingml/2006/picture">
                  <pic:nvPicPr>
                    <pic:cNvPr id="1" name="IM 229"/>
                    <pic:cNvPicPr/>
                  </pic:nvPicPr>
                  <pic:blipFill>
                    <a:blip r:embed="rId6"/>
                    <a:stretch>
                      <a:fillRect/>
                    </a:stretch>
                  </pic:blipFill>
                  <pic:spPr>
                    <a:xfrm>
                      <a:off x="0" y="0"/>
                      <a:ext cx="5550535" cy="16509"/>
                    </a:xfrm>
                    <a:prstGeom prst="rect">
                      <a:avLst/>
                    </a:prstGeom>
                  </pic:spPr>
                </pic:pic>
              </a:graphicData>
            </a:graphic>
          </wp:inline>
        </w:drawing>
      </w:r>
    </w:p>
    <w:p w14:paraId="093F1844">
      <w:pPr>
        <w:widowControl w:val="0"/>
        <w:kinsoku/>
        <w:topLinePunct/>
        <w:autoSpaceDN/>
        <w:spacing w:line="560" w:lineRule="atLeast"/>
        <w:rPr>
          <w:rFonts w:hint="default"/>
          <w:lang w:val="en-US" w:eastAsia="zh-CN"/>
        </w:rPr>
      </w:pPr>
      <w:r>
        <w:rPr>
          <w:rFonts w:ascii="仿宋" w:hAnsi="仿宋" w:eastAsia="仿宋" w:cs="仿宋"/>
          <w:spacing w:val="-10"/>
          <w:sz w:val="32"/>
          <w:szCs w:val="32"/>
        </w:rPr>
        <w:t>本文书一式</w:t>
      </w:r>
      <w:r>
        <w:rPr>
          <w:rFonts w:ascii="仿宋" w:hAnsi="仿宋" w:eastAsia="仿宋" w:cs="仿宋"/>
          <w:spacing w:val="6"/>
          <w:sz w:val="32"/>
          <w:szCs w:val="32"/>
          <w:u w:val="single"/>
        </w:rPr>
        <w:t xml:space="preserve"> </w:t>
      </w:r>
      <w:r>
        <w:rPr>
          <w:rFonts w:hint="eastAsia" w:ascii="仿宋" w:hAnsi="仿宋" w:eastAsia="仿宋" w:cs="仿宋"/>
          <w:spacing w:val="6"/>
          <w:sz w:val="32"/>
          <w:szCs w:val="32"/>
          <w:u w:val="single"/>
        </w:rPr>
        <w:t>二</w:t>
      </w:r>
      <w:r>
        <w:rPr>
          <w:rFonts w:ascii="仿宋" w:hAnsi="仿宋" w:eastAsia="仿宋" w:cs="仿宋"/>
          <w:spacing w:val="6"/>
          <w:sz w:val="32"/>
          <w:szCs w:val="32"/>
          <w:u w:val="single"/>
        </w:rPr>
        <w:t xml:space="preserve"> </w:t>
      </w:r>
      <w:r>
        <w:rPr>
          <w:rFonts w:ascii="仿宋" w:hAnsi="仿宋" w:eastAsia="仿宋" w:cs="仿宋"/>
          <w:spacing w:val="-10"/>
          <w:sz w:val="32"/>
          <w:szCs w:val="32"/>
        </w:rPr>
        <w:t>份，</w:t>
      </w:r>
      <w:r>
        <w:rPr>
          <w:rFonts w:ascii="仿宋" w:hAnsi="仿宋" w:eastAsia="仿宋" w:cs="仿宋"/>
          <w:spacing w:val="20"/>
          <w:sz w:val="32"/>
          <w:szCs w:val="32"/>
          <w:u w:val="single"/>
        </w:rPr>
        <w:t xml:space="preserve"> </w:t>
      </w:r>
      <w:r>
        <w:rPr>
          <w:rFonts w:hint="eastAsia" w:ascii="仿宋" w:hAnsi="仿宋" w:eastAsia="仿宋" w:cs="仿宋"/>
          <w:spacing w:val="20"/>
          <w:sz w:val="32"/>
          <w:szCs w:val="32"/>
          <w:u w:val="single"/>
        </w:rPr>
        <w:t>一</w:t>
      </w:r>
      <w:r>
        <w:rPr>
          <w:rFonts w:ascii="仿宋" w:hAnsi="仿宋" w:eastAsia="仿宋" w:cs="仿宋"/>
          <w:spacing w:val="20"/>
          <w:sz w:val="32"/>
          <w:szCs w:val="32"/>
          <w:u w:val="single"/>
        </w:rPr>
        <w:t xml:space="preserve"> </w:t>
      </w:r>
      <w:r>
        <w:rPr>
          <w:rFonts w:ascii="仿宋" w:hAnsi="仿宋" w:eastAsia="仿宋" w:cs="仿宋"/>
          <w:spacing w:val="-10"/>
          <w:sz w:val="32"/>
          <w:szCs w:val="32"/>
        </w:rPr>
        <w:t>份送达，一份归档，</w:t>
      </w:r>
      <w:r>
        <w:rPr>
          <w:rFonts w:ascii="仿宋" w:hAnsi="仿宋" w:eastAsia="仿宋" w:cs="仿宋"/>
          <w:spacing w:val="3"/>
          <w:sz w:val="32"/>
          <w:szCs w:val="32"/>
          <w:u w:val="single"/>
        </w:rPr>
        <w:t xml:space="preserve">      </w:t>
      </w:r>
      <w:r>
        <w:rPr>
          <w:rFonts w:hint="eastAsia" w:ascii="仿宋" w:hAnsi="仿宋" w:eastAsia="仿宋" w:cs="仿宋"/>
          <w:spacing w:val="3"/>
          <w:sz w:val="32"/>
          <w:szCs w:val="32"/>
          <w:u w:val="single"/>
        </w:rPr>
        <w:t>/</w:t>
      </w:r>
      <w:r>
        <w:rPr>
          <w:rFonts w:ascii="仿宋" w:hAnsi="仿宋" w:eastAsia="仿宋" w:cs="仿宋"/>
          <w:spacing w:val="3"/>
          <w:sz w:val="32"/>
          <w:szCs w:val="32"/>
          <w:u w:val="single"/>
        </w:rPr>
        <w:t xml:space="preserve">     </w:t>
      </w:r>
      <w:r>
        <w:rPr>
          <w:rFonts w:ascii="仿宋" w:hAnsi="仿宋" w:eastAsia="仿宋" w:cs="仿宋"/>
          <w:spacing w:val="-10"/>
          <w:sz w:val="32"/>
          <w:szCs w:val="32"/>
        </w:rPr>
        <w:t>。</w:t>
      </w:r>
      <w:r>
        <w:rPr>
          <w:rFonts w:ascii="仿宋" w:hAnsi="仿宋" w:eastAsia="仿宋" w:cs="仿宋"/>
          <w:spacing w:val="3"/>
          <w:sz w:val="32"/>
          <w:szCs w:val="32"/>
          <w:u w:val="single"/>
        </w:rPr>
        <w:t xml:space="preserve"> </w:t>
      </w:r>
    </w:p>
    <w:sectPr>
      <w:headerReference r:id="rId3" w:type="default"/>
      <w:footerReference r:id="rId4"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18D30">
    <w:pPr>
      <w:spacing w:line="196" w:lineRule="exact"/>
      <w:rPr>
        <w:rFonts w:ascii="宋体" w:hAnsi="宋体" w:eastAsia="宋体" w:cs="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BCD22">
    <w:pPr>
      <w:spacing w:line="14" w:lineRule="auto"/>
      <w:rPr>
        <w:rFonts w:ascii="Malgun Gothic"/>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F471A"/>
    <w:rsid w:val="08F614E8"/>
    <w:rsid w:val="09582461"/>
    <w:rsid w:val="0B551D9D"/>
    <w:rsid w:val="0CA077E6"/>
    <w:rsid w:val="1056219B"/>
    <w:rsid w:val="10B62457"/>
    <w:rsid w:val="13ED0F97"/>
    <w:rsid w:val="142E514E"/>
    <w:rsid w:val="153E45AB"/>
    <w:rsid w:val="166201FD"/>
    <w:rsid w:val="19D52B9B"/>
    <w:rsid w:val="1AEB2ADF"/>
    <w:rsid w:val="1CF47668"/>
    <w:rsid w:val="1EA66C83"/>
    <w:rsid w:val="1ED81A83"/>
    <w:rsid w:val="22294B96"/>
    <w:rsid w:val="288A4DE1"/>
    <w:rsid w:val="29B31096"/>
    <w:rsid w:val="2A6D3510"/>
    <w:rsid w:val="2A7179E8"/>
    <w:rsid w:val="2AC62C21"/>
    <w:rsid w:val="2E643BB9"/>
    <w:rsid w:val="2F797793"/>
    <w:rsid w:val="30FE5432"/>
    <w:rsid w:val="318D6AB3"/>
    <w:rsid w:val="32192170"/>
    <w:rsid w:val="3252037F"/>
    <w:rsid w:val="32C72628"/>
    <w:rsid w:val="32E53BD2"/>
    <w:rsid w:val="3443027D"/>
    <w:rsid w:val="362A5E2D"/>
    <w:rsid w:val="39AE31FE"/>
    <w:rsid w:val="3CFB245A"/>
    <w:rsid w:val="3E936234"/>
    <w:rsid w:val="40BC0654"/>
    <w:rsid w:val="42866E67"/>
    <w:rsid w:val="4395681C"/>
    <w:rsid w:val="482B5142"/>
    <w:rsid w:val="48BA2EB0"/>
    <w:rsid w:val="48D943A7"/>
    <w:rsid w:val="490211BE"/>
    <w:rsid w:val="4A0D4D0D"/>
    <w:rsid w:val="4D1C162C"/>
    <w:rsid w:val="53175C5B"/>
    <w:rsid w:val="53CC09F8"/>
    <w:rsid w:val="53D30E67"/>
    <w:rsid w:val="566A06DD"/>
    <w:rsid w:val="56CC5767"/>
    <w:rsid w:val="586F25BB"/>
    <w:rsid w:val="5B3325DF"/>
    <w:rsid w:val="5D305090"/>
    <w:rsid w:val="5D931302"/>
    <w:rsid w:val="5E2D7CA3"/>
    <w:rsid w:val="62C10AF0"/>
    <w:rsid w:val="63BF1688"/>
    <w:rsid w:val="67275899"/>
    <w:rsid w:val="697274F4"/>
    <w:rsid w:val="74026E16"/>
    <w:rsid w:val="74830290"/>
    <w:rsid w:val="75BF0CCB"/>
    <w:rsid w:val="79E671D1"/>
    <w:rsid w:val="7B2A74CC"/>
    <w:rsid w:val="7BC167E5"/>
    <w:rsid w:val="7ED60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_Style 5"/>
    <w:basedOn w:val="1"/>
    <w:qFormat/>
    <w:uiPriority w:val="0"/>
    <w:pPr>
      <w:ind w:firstLine="200" w:firstLineChars="200"/>
      <w:textAlignment w:val="baseline"/>
    </w:pPr>
    <w:rPr>
      <w:snapToGrid w:val="0"/>
      <w:sz w:val="24"/>
      <w:szCs w:val="22"/>
    </w:rPr>
  </w:style>
  <w:style w:type="paragraph" w:customStyle="1" w:styleId="7">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4299</Words>
  <Characters>4702</Characters>
  <Lines>0</Lines>
  <Paragraphs>0</Paragraphs>
  <TotalTime>11</TotalTime>
  <ScaleCrop>false</ScaleCrop>
  <LinksUpToDate>false</LinksUpToDate>
  <CharactersWithSpaces>4905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2024-11-27T02:06:00Z</dcterms:created>
  <dc:creator>Administrator</dc:creator>
  <cp:lastModifiedBy>十四师政务网</cp:lastModifiedBy>
  <cp:lastPrinted>2025-11-14T11:29:00Z</cp:lastPrinted>
  <dcterms:modified xsi:type="dcterms:W3CDTF">2025-12-25T09:02:45Z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44AB839E768F4EE19B26017E58663F53_13</vt:lpwstr>
  </property>
  <property fmtid="{D5CDD505-2E9C-101B-9397-08002B2CF9AE}" pid="4" name="KSOTemplateDocerSaveRecord">
    <vt:lpwstr>eyJoZGlkIjoiNjNkMTQ3MDZjZDQwOGM4ZTVjY2I5OTgzNjVmYmVlZmQiLCJ1c2VySWQiOiIxNjU2NTU0MjE4In0=</vt:lpwstr>
  </property>
</Properties>
</file>