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0A57AE">
      <w:pPr>
        <w:keepNext w:val="0"/>
        <w:keepLines w:val="0"/>
        <w:pageBreakBefore w:val="0"/>
        <w:kinsoku/>
        <w:wordWrap/>
        <w:bidi w:val="0"/>
        <w:spacing w:line="560" w:lineRule="exact"/>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bookmarkStart w:id="0" w:name="_GoBack"/>
    </w:p>
    <w:p w14:paraId="4F93CB03">
      <w:pPr>
        <w:keepNext w:val="0"/>
        <w:keepLines w:val="0"/>
        <w:pageBreakBefore w:val="0"/>
        <w:widowControl w:val="0"/>
        <w:tabs>
          <w:tab w:val="left" w:pos="3518"/>
        </w:tabs>
        <w:kinsoku/>
        <w:wordWrap/>
        <w:overflowPunct/>
        <w:topLinePunct/>
        <w:autoSpaceDN/>
        <w:bidi w:val="0"/>
        <w:adjustRightInd/>
        <w:snapToGrid/>
        <w:spacing w:line="540" w:lineRule="exact"/>
        <w:jc w:val="center"/>
        <w:textAlignment w:val="auto"/>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pacing w:val="-2"/>
          <w:sz w:val="44"/>
          <w:szCs w:val="44"/>
        </w:rPr>
        <w:t>第十四师市场监督管理局</w:t>
      </w:r>
    </w:p>
    <w:p w14:paraId="0DC3B4D2">
      <w:pPr>
        <w:keepNext w:val="0"/>
        <w:keepLines w:val="0"/>
        <w:pageBreakBefore w:val="0"/>
        <w:widowControl w:val="0"/>
        <w:kinsoku/>
        <w:wordWrap/>
        <w:overflowPunct/>
        <w:topLinePunct/>
        <w:autoSpaceDN/>
        <w:bidi w:val="0"/>
        <w:adjustRightInd/>
        <w:snapToGrid/>
        <w:spacing w:line="540" w:lineRule="exact"/>
        <w:jc w:val="center"/>
        <w:textAlignment w:val="auto"/>
        <w:rPr>
          <w:rFonts w:hint="eastAsia" w:ascii="方正小标宋简体" w:hAnsi="方正小标宋简体" w:eastAsia="方正小标宋简体" w:cs="方正小标宋简体"/>
          <w:spacing w:val="-2"/>
          <w:sz w:val="44"/>
          <w:szCs w:val="44"/>
        </w:rPr>
      </w:pPr>
      <w:r>
        <w:rPr>
          <w:rFonts w:hint="eastAsia" w:ascii="方正小标宋简体" w:hAnsi="方正小标宋简体" w:eastAsia="方正小标宋简体" w:cs="方正小标宋简体"/>
          <w:spacing w:val="-2"/>
          <w:sz w:val="44"/>
          <w:szCs w:val="44"/>
        </w:rPr>
        <w:t>行政处罚决定书</w:t>
      </w:r>
    </w:p>
    <w:p w14:paraId="45BB33F8">
      <w:pPr>
        <w:keepNext w:val="0"/>
        <w:keepLines w:val="0"/>
        <w:pageBreakBefore w:val="0"/>
        <w:widowControl w:val="0"/>
        <w:kinsoku/>
        <w:wordWrap/>
        <w:overflowPunct/>
        <w:topLinePunct/>
        <w:autoSpaceDN/>
        <w:bidi w:val="0"/>
        <w:adjustRightInd/>
        <w:snapToGrid/>
        <w:spacing w:line="540" w:lineRule="exact"/>
        <w:jc w:val="center"/>
        <w:textAlignment w:val="auto"/>
        <w:rPr>
          <w:rFonts w:ascii="Times New Roman" w:hAnsi="Times New Roman" w:eastAsia="仿宋_GB2312" w:cs="Times New Roman"/>
          <w:sz w:val="32"/>
          <w:szCs w:val="32"/>
        </w:rPr>
      </w:pPr>
      <w:r>
        <w:rPr>
          <w:rFonts w:hint="eastAsia" w:ascii="仿宋_GB2312" w:hAnsi="仿宋_GB2312" w:eastAsia="仿宋_GB2312" w:cs="仿宋_GB2312"/>
          <w:spacing w:val="-7"/>
          <w:sz w:val="32"/>
          <w:szCs w:val="32"/>
        </w:rPr>
        <w:t>十四师市监处罚</w:t>
      </w:r>
      <w:r>
        <w:rPr>
          <w:rFonts w:ascii="Times New Roman" w:hAnsi="Times New Roman" w:eastAsia="仿宋_GB2312" w:cs="Times New Roman"/>
          <w:spacing w:val="-7"/>
          <w:sz w:val="32"/>
          <w:szCs w:val="32"/>
        </w:rPr>
        <w:t>〔</w:t>
      </w:r>
      <w:r>
        <w:rPr>
          <w:rFonts w:ascii="Times New Roman" w:hAnsi="Times New Roman" w:eastAsia="仿宋_GB2312" w:cs="Times New Roman"/>
          <w:spacing w:val="18"/>
          <w:sz w:val="32"/>
          <w:szCs w:val="32"/>
          <w:u w:val="single"/>
        </w:rPr>
        <w:t>202</w:t>
      </w:r>
      <w:r>
        <w:rPr>
          <w:rFonts w:hint="eastAsia" w:ascii="Times New Roman" w:hAnsi="Times New Roman" w:eastAsia="仿宋_GB2312" w:cs="Times New Roman"/>
          <w:spacing w:val="18"/>
          <w:sz w:val="32"/>
          <w:szCs w:val="32"/>
          <w:u w:val="single"/>
          <w:lang w:val="en-US" w:eastAsia="zh-CN"/>
        </w:rPr>
        <w:t>5</w:t>
      </w:r>
      <w:r>
        <w:rPr>
          <w:rFonts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lang w:val="en-US" w:eastAsia="zh-CN"/>
        </w:rPr>
        <w:t>59</w:t>
      </w:r>
      <w:r>
        <w:rPr>
          <w:rFonts w:ascii="Times New Roman" w:hAnsi="Times New Roman" w:eastAsia="仿宋_GB2312" w:cs="Times New Roman"/>
          <w:spacing w:val="-7"/>
          <w:sz w:val="32"/>
          <w:szCs w:val="32"/>
        </w:rPr>
        <w:t>号</w:t>
      </w:r>
    </w:p>
    <w:bookmarkEnd w:id="0"/>
    <w:p w14:paraId="49D5B356">
      <w:pPr>
        <w:keepNext w:val="0"/>
        <w:keepLines w:val="0"/>
        <w:pageBreakBefore w:val="0"/>
        <w:widowControl w:val="0"/>
        <w:kinsoku/>
        <w:wordWrap/>
        <w:overflowPunct/>
        <w:topLinePunct/>
        <w:autoSpaceDN/>
        <w:bidi w:val="0"/>
        <w:adjustRightInd/>
        <w:snapToGrid/>
        <w:spacing w:line="540" w:lineRule="exact"/>
        <w:textAlignment w:val="auto"/>
        <w:rPr>
          <w:rFonts w:ascii="Times New Roman" w:hAnsi="Times New Roman" w:cs="Times New Roman"/>
        </w:rPr>
      </w:pPr>
    </w:p>
    <w:p w14:paraId="6896C844">
      <w:pPr>
        <w:keepNext w:val="0"/>
        <w:keepLines w:val="0"/>
        <w:pageBreakBefore w:val="0"/>
        <w:widowControl/>
        <w:kinsoku/>
        <w:wordWrap/>
        <w:overflowPunct/>
        <w:topLinePunct/>
        <w:autoSpaceDE w:val="0"/>
        <w:autoSpaceDN/>
        <w:bidi w:val="0"/>
        <w:adjustRightInd/>
        <w:snapToGrid/>
        <w:spacing w:line="540" w:lineRule="exact"/>
        <w:ind w:firstLine="34"/>
        <w:jc w:val="both"/>
        <w:textAlignment w:val="auto"/>
        <w:rPr>
          <w:rFonts w:ascii="Times New Roman" w:hAnsi="Times New Roman" w:eastAsia="仿宋_GB2312" w:cs="Times New Roman"/>
          <w:spacing w:val="1"/>
          <w:sz w:val="32"/>
          <w:szCs w:val="32"/>
          <w:u w:val="single"/>
        </w:rPr>
      </w:pPr>
      <w:r>
        <w:rPr>
          <w:rFonts w:hint="eastAsia" w:ascii="Times New Roman" w:hAnsi="Times New Roman" w:eastAsia="仿宋_GB2312" w:cs="Times New Roman"/>
          <w:color w:val="auto"/>
          <w:sz w:val="32"/>
          <w:szCs w:val="32"/>
          <w:highlight w:val="none"/>
        </w:rPr>
        <w:t>当事人</w:t>
      </w:r>
      <w:r>
        <w:rPr>
          <w:rFonts w:ascii="Times New Roman" w:hAnsi="Times New Roman" w:eastAsia="仿宋_GB2312" w:cs="Times New Roman"/>
          <w:w w:val="89"/>
          <w:sz w:val="32"/>
          <w:szCs w:val="32"/>
        </w:rPr>
        <w:t>：</w:t>
      </w:r>
      <w:r>
        <w:rPr>
          <w:rFonts w:hint="eastAsia" w:ascii="Times New Roman" w:hAnsi="Times New Roman" w:eastAsia="仿宋_GB2312" w:cs="Times New Roman"/>
          <w:color w:val="auto"/>
          <w:spacing w:val="-9"/>
          <w:sz w:val="32"/>
          <w:szCs w:val="32"/>
          <w:highlight w:val="none"/>
          <w:u w:val="single"/>
        </w:rPr>
        <w:t>昆玉市昆仑镇沙漠梧桐养殖专业合作社</w:t>
      </w:r>
      <w:r>
        <w:rPr>
          <w:rFonts w:hint="eastAsia" w:ascii="Times New Roman" w:hAnsi="Times New Roman" w:eastAsia="仿宋_GB2312" w:cs="Times New Roman"/>
          <w:spacing w:val="1"/>
          <w:sz w:val="32"/>
          <w:szCs w:val="32"/>
          <w:u w:val="single"/>
          <w:lang w:val="en-US" w:eastAsia="zh-CN"/>
        </w:rPr>
        <w:t xml:space="preserve">          </w:t>
      </w:r>
      <w:r>
        <w:rPr>
          <w:rFonts w:ascii="Times New Roman" w:hAnsi="Times New Roman" w:eastAsia="仿宋_GB2312" w:cs="Times New Roman"/>
          <w:spacing w:val="1"/>
          <w:sz w:val="32"/>
          <w:szCs w:val="32"/>
          <w:u w:val="single"/>
        </w:rPr>
        <w:t xml:space="preserve">               </w:t>
      </w:r>
    </w:p>
    <w:p w14:paraId="4F532ECC">
      <w:pPr>
        <w:keepNext w:val="0"/>
        <w:keepLines w:val="0"/>
        <w:pageBreakBefore w:val="0"/>
        <w:widowControl/>
        <w:kinsoku/>
        <w:wordWrap/>
        <w:overflowPunct/>
        <w:topLinePunct/>
        <w:autoSpaceDE w:val="0"/>
        <w:autoSpaceDN/>
        <w:bidi w:val="0"/>
        <w:adjustRightInd/>
        <w:snapToGrid/>
        <w:spacing w:line="540" w:lineRule="exact"/>
        <w:ind w:firstLine="34"/>
        <w:jc w:val="both"/>
        <w:textAlignment w:val="auto"/>
        <w:rPr>
          <w:rFonts w:ascii="Times New Roman" w:hAnsi="Times New Roman" w:eastAsia="仿宋_GB2312" w:cs="Times New Roman"/>
          <w:spacing w:val="1"/>
          <w:sz w:val="32"/>
          <w:szCs w:val="32"/>
          <w:u w:val="single"/>
        </w:rPr>
      </w:pPr>
      <w:r>
        <w:rPr>
          <w:rFonts w:hint="eastAsia" w:ascii="Times New Roman" w:hAnsi="Times New Roman" w:eastAsia="仿宋_GB2312" w:cs="Times New Roman"/>
          <w:color w:val="auto"/>
          <w:sz w:val="32"/>
          <w:szCs w:val="32"/>
          <w:highlight w:val="none"/>
        </w:rPr>
        <w:t>主体资格证照名称</w:t>
      </w:r>
      <w:r>
        <w:rPr>
          <w:rFonts w:ascii="Times New Roman" w:hAnsi="Times New Roman" w:eastAsia="仿宋_GB2312" w:cs="Times New Roman"/>
          <w:spacing w:val="-28"/>
          <w:sz w:val="32"/>
          <w:szCs w:val="32"/>
        </w:rPr>
        <w:t>：</w:t>
      </w:r>
      <w:r>
        <w:rPr>
          <w:rFonts w:ascii="Times New Roman" w:hAnsi="Times New Roman" w:eastAsia="仿宋_GB2312" w:cs="Times New Roman"/>
          <w:spacing w:val="1"/>
          <w:sz w:val="32"/>
          <w:szCs w:val="32"/>
          <w:u w:val="single"/>
        </w:rPr>
        <w:t xml:space="preserve">     营业执照</w:t>
      </w:r>
      <w:r>
        <w:rPr>
          <w:rFonts w:hint="eastAsia" w:ascii="Times New Roman" w:hAnsi="Times New Roman" w:eastAsia="仿宋_GB2312" w:cs="Times New Roman"/>
          <w:spacing w:val="1"/>
          <w:sz w:val="32"/>
          <w:szCs w:val="32"/>
          <w:u w:val="single"/>
          <w:lang w:val="en-US" w:eastAsia="zh-CN"/>
        </w:rPr>
        <w:t xml:space="preserve">                       </w:t>
      </w:r>
      <w:r>
        <w:rPr>
          <w:rFonts w:ascii="Times New Roman" w:hAnsi="Times New Roman" w:eastAsia="仿宋_GB2312" w:cs="Times New Roman"/>
          <w:spacing w:val="1"/>
          <w:sz w:val="32"/>
          <w:szCs w:val="32"/>
          <w:u w:val="single"/>
        </w:rPr>
        <w:t xml:space="preserve"> </w:t>
      </w:r>
    </w:p>
    <w:p w14:paraId="5A760859">
      <w:pPr>
        <w:keepNext w:val="0"/>
        <w:keepLines w:val="0"/>
        <w:pageBreakBefore w:val="0"/>
        <w:widowControl/>
        <w:kinsoku/>
        <w:wordWrap/>
        <w:overflowPunct/>
        <w:topLinePunct/>
        <w:autoSpaceDE w:val="0"/>
        <w:autoSpaceDN/>
        <w:bidi w:val="0"/>
        <w:adjustRightInd/>
        <w:snapToGrid/>
        <w:spacing w:line="540" w:lineRule="exact"/>
        <w:ind w:firstLine="34"/>
        <w:jc w:val="both"/>
        <w:textAlignment w:val="auto"/>
        <w:rPr>
          <w:rFonts w:hint="eastAsia" w:ascii="Times New Roman" w:hAnsi="Times New Roman" w:eastAsia="仿宋_GB2312" w:cs="Times New Roman"/>
          <w:spacing w:val="1"/>
          <w:sz w:val="32"/>
          <w:szCs w:val="32"/>
          <w:u w:val="single"/>
        </w:rPr>
      </w:pPr>
      <w:r>
        <w:rPr>
          <w:rFonts w:hint="eastAsia" w:ascii="Times New Roman" w:hAnsi="Times New Roman" w:eastAsia="仿宋_GB2312" w:cs="Times New Roman"/>
          <w:color w:val="auto"/>
          <w:sz w:val="32"/>
          <w:szCs w:val="32"/>
          <w:highlight w:val="none"/>
        </w:rPr>
        <w:t>统一社会信用代码</w:t>
      </w:r>
      <w:r>
        <w:rPr>
          <w:rFonts w:ascii="Times New Roman" w:hAnsi="Times New Roman" w:eastAsia="仿宋_GB2312" w:cs="Times New Roman"/>
          <w:spacing w:val="-28"/>
          <w:sz w:val="32"/>
          <w:szCs w:val="32"/>
        </w:rPr>
        <w:t>：</w:t>
      </w:r>
      <w:r>
        <w:rPr>
          <w:rFonts w:hint="eastAsia" w:ascii="Times New Roman" w:hAnsi="Times New Roman" w:eastAsia="仿宋_GB2312" w:cs="Times New Roman"/>
          <w:color w:val="auto"/>
          <w:spacing w:val="-9"/>
          <w:sz w:val="32"/>
          <w:szCs w:val="32"/>
          <w:highlight w:val="none"/>
          <w:u w:val="single"/>
        </w:rPr>
        <w:t>93659009MA786Q844Q</w:t>
      </w:r>
      <w:r>
        <w:rPr>
          <w:rFonts w:hint="eastAsia" w:ascii="Times New Roman" w:hAnsi="Times New Roman" w:eastAsia="仿宋_GB2312" w:cs="Times New Roman"/>
          <w:spacing w:val="1"/>
          <w:sz w:val="32"/>
          <w:szCs w:val="32"/>
          <w:u w:val="single"/>
        </w:rPr>
        <w:t xml:space="preserve"> </w:t>
      </w:r>
      <w:r>
        <w:rPr>
          <w:rFonts w:hint="eastAsia" w:ascii="Times New Roman" w:hAnsi="Times New Roman" w:eastAsia="仿宋_GB2312" w:cs="Times New Roman"/>
          <w:spacing w:val="1"/>
          <w:sz w:val="32"/>
          <w:szCs w:val="32"/>
          <w:u w:val="single"/>
          <w:lang w:val="en-US" w:eastAsia="zh-CN"/>
        </w:rPr>
        <w:t xml:space="preserve">                   </w:t>
      </w:r>
      <w:r>
        <w:rPr>
          <w:rFonts w:hint="eastAsia" w:ascii="Times New Roman" w:hAnsi="Times New Roman" w:eastAsia="仿宋_GB2312" w:cs="Times New Roman"/>
          <w:spacing w:val="1"/>
          <w:sz w:val="32"/>
          <w:szCs w:val="32"/>
          <w:u w:val="single"/>
        </w:rPr>
        <w:t xml:space="preserve"> </w:t>
      </w:r>
    </w:p>
    <w:p w14:paraId="632D7620">
      <w:pPr>
        <w:keepNext w:val="0"/>
        <w:keepLines w:val="0"/>
        <w:pageBreakBefore w:val="0"/>
        <w:widowControl/>
        <w:kinsoku/>
        <w:wordWrap/>
        <w:overflowPunct/>
        <w:topLinePunct/>
        <w:autoSpaceDE w:val="0"/>
        <w:autoSpaceDN/>
        <w:bidi w:val="0"/>
        <w:adjustRightInd/>
        <w:snapToGrid/>
        <w:spacing w:line="540" w:lineRule="exact"/>
        <w:ind w:firstLine="34"/>
        <w:jc w:val="both"/>
        <w:textAlignment w:val="auto"/>
        <w:rPr>
          <w:rFonts w:hint="default" w:ascii="Times New Roman" w:hAnsi="Times New Roman" w:eastAsia="仿宋_GB2312" w:cs="Times New Roman"/>
          <w:color w:val="auto"/>
          <w:spacing w:val="-9"/>
          <w:sz w:val="32"/>
          <w:szCs w:val="32"/>
          <w:highlight w:val="none"/>
          <w:u w:val="single"/>
          <w:lang w:val="en-US" w:eastAsia="zh-CN"/>
        </w:rPr>
      </w:pPr>
      <w:r>
        <w:rPr>
          <w:rFonts w:hint="eastAsia" w:ascii="Times New Roman" w:hAnsi="Times New Roman" w:eastAsia="仿宋_GB2312" w:cs="Times New Roman"/>
          <w:color w:val="auto"/>
          <w:sz w:val="32"/>
          <w:szCs w:val="32"/>
          <w:highlight w:val="none"/>
          <w:lang w:val="en-US" w:eastAsia="zh-CN"/>
        </w:rPr>
        <w:t>住所</w:t>
      </w:r>
      <w:r>
        <w:rPr>
          <w:rFonts w:hint="eastAsia" w:ascii="仿宋_GB2312" w:hAnsi="仿宋_GB2312" w:eastAsia="仿宋_GB2312" w:cs="仿宋_GB2312"/>
          <w:spacing w:val="-11"/>
          <w:sz w:val="32"/>
          <w:szCs w:val="32"/>
          <w:highlight w:val="none"/>
        </w:rPr>
        <w:t>：</w:t>
      </w:r>
      <w:r>
        <w:rPr>
          <w:rFonts w:hint="eastAsia" w:ascii="Times New Roman" w:hAnsi="Times New Roman" w:eastAsia="仿宋_GB2312" w:cs="Times New Roman"/>
          <w:color w:val="auto"/>
          <w:spacing w:val="-9"/>
          <w:sz w:val="32"/>
          <w:szCs w:val="32"/>
          <w:highlight w:val="none"/>
          <w:u w:val="single"/>
        </w:rPr>
        <w:t>新疆昆玉市昆仑镇团部10号门面房</w:t>
      </w:r>
      <w:r>
        <w:rPr>
          <w:rFonts w:hint="eastAsia" w:ascii="Times New Roman" w:hAnsi="Times New Roman" w:eastAsia="仿宋_GB2312" w:cs="Times New Roman"/>
          <w:color w:val="auto"/>
          <w:spacing w:val="-9"/>
          <w:sz w:val="32"/>
          <w:szCs w:val="32"/>
          <w:highlight w:val="none"/>
          <w:u w:val="single"/>
          <w:lang w:val="en-US" w:eastAsia="zh-CN"/>
        </w:rPr>
        <w:t xml:space="preserve">                   </w:t>
      </w:r>
    </w:p>
    <w:p w14:paraId="28BA6092">
      <w:pPr>
        <w:keepNext w:val="0"/>
        <w:keepLines w:val="0"/>
        <w:pageBreakBefore w:val="0"/>
        <w:widowControl/>
        <w:kinsoku/>
        <w:wordWrap/>
        <w:overflowPunct/>
        <w:topLinePunct/>
        <w:autoSpaceDE w:val="0"/>
        <w:autoSpaceDN/>
        <w:bidi w:val="0"/>
        <w:adjustRightInd/>
        <w:snapToGrid/>
        <w:spacing w:line="540" w:lineRule="exact"/>
        <w:ind w:firstLine="34"/>
        <w:jc w:val="both"/>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highlight w:val="none"/>
          <w:lang w:val="en-US" w:eastAsia="zh-CN"/>
        </w:rPr>
        <w:t>法定代表人</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pacing w:val="1"/>
          <w:sz w:val="32"/>
          <w:szCs w:val="32"/>
          <w:highlight w:val="none"/>
          <w:u w:val="single"/>
        </w:rPr>
        <w:t xml:space="preserve"> </w:t>
      </w:r>
      <w:r>
        <w:rPr>
          <w:rFonts w:hint="eastAsia" w:ascii="Times New Roman" w:hAnsi="Times New Roman" w:eastAsia="仿宋_GB2312" w:cs="Times New Roman"/>
          <w:color w:val="auto"/>
          <w:spacing w:val="-9"/>
          <w:sz w:val="32"/>
          <w:szCs w:val="32"/>
          <w:highlight w:val="none"/>
          <w:u w:val="single"/>
        </w:rPr>
        <w:t>邓亚峰</w:t>
      </w:r>
      <w:r>
        <w:rPr>
          <w:rFonts w:hint="eastAsia" w:ascii="仿宋_GB2312" w:hAnsi="仿宋_GB2312" w:eastAsia="仿宋_GB2312" w:cs="仿宋_GB2312"/>
          <w:spacing w:val="4"/>
          <w:sz w:val="32"/>
          <w:szCs w:val="32"/>
          <w:u w:val="single"/>
          <w:lang w:val="en-US" w:eastAsia="zh-CN"/>
        </w:rPr>
        <w:t xml:space="preserve">             </w:t>
      </w:r>
      <w:r>
        <w:rPr>
          <w:rFonts w:hint="eastAsia" w:ascii="Times New Roman" w:hAnsi="Times New Roman" w:eastAsia="仿宋_GB2312" w:cs="Times New Roman"/>
          <w:spacing w:val="1"/>
          <w:sz w:val="32"/>
          <w:szCs w:val="32"/>
          <w:u w:val="single"/>
        </w:rPr>
        <w:t xml:space="preserve"> </w:t>
      </w:r>
      <w:r>
        <w:rPr>
          <w:rFonts w:hint="eastAsia" w:ascii="仿宋_GB2312" w:hAnsi="仿宋_GB2312" w:eastAsia="仿宋_GB2312" w:cs="仿宋_GB2312"/>
          <w:spacing w:val="1"/>
          <w:sz w:val="32"/>
          <w:szCs w:val="32"/>
          <w:u w:val="single"/>
        </w:rPr>
        <w:t xml:space="preserve">              </w:t>
      </w:r>
      <w:r>
        <w:rPr>
          <w:rFonts w:hint="eastAsia" w:ascii="仿宋_GB2312" w:hAnsi="仿宋_GB2312" w:eastAsia="仿宋_GB2312" w:cs="仿宋_GB2312"/>
          <w:spacing w:val="1"/>
          <w:sz w:val="32"/>
          <w:szCs w:val="32"/>
          <w:u w:val="single"/>
          <w:lang w:val="en-US" w:eastAsia="zh-CN"/>
        </w:rPr>
        <w:t xml:space="preserve"> </w:t>
      </w:r>
      <w:r>
        <w:rPr>
          <w:rFonts w:hint="eastAsia" w:ascii="仿宋_GB2312" w:hAnsi="仿宋_GB2312" w:eastAsia="仿宋_GB2312" w:cs="仿宋_GB2312"/>
          <w:spacing w:val="1"/>
          <w:sz w:val="32"/>
          <w:szCs w:val="32"/>
          <w:u w:val="single"/>
        </w:rPr>
        <w:t xml:space="preserve"> </w:t>
      </w:r>
      <w:r>
        <w:rPr>
          <w:rFonts w:hint="eastAsia" w:ascii="仿宋_GB2312" w:hAnsi="仿宋_GB2312" w:eastAsia="仿宋_GB2312" w:cs="仿宋_GB2312"/>
          <w:spacing w:val="1"/>
          <w:sz w:val="32"/>
          <w:szCs w:val="32"/>
          <w:u w:val="single"/>
          <w:lang w:val="en-US" w:eastAsia="zh-CN"/>
        </w:rPr>
        <w:t xml:space="preserve">       </w:t>
      </w:r>
    </w:p>
    <w:p w14:paraId="3B1D0B53">
      <w:pPr>
        <w:pStyle w:val="6"/>
        <w:keepNext w:val="0"/>
        <w:keepLines w:val="0"/>
        <w:pageBreakBefore w:val="0"/>
        <w:widowControl/>
        <w:kinsoku/>
        <w:wordWrap/>
        <w:overflowPunct/>
        <w:topLinePunct/>
        <w:autoSpaceDE w:val="0"/>
        <w:autoSpaceDN/>
        <w:bidi w:val="0"/>
        <w:adjustRightInd/>
        <w:snapToGrid/>
        <w:spacing w:line="540" w:lineRule="exact"/>
        <w:ind w:firstLine="640" w:firstLineChars="200"/>
        <w:jc w:val="both"/>
        <w:textAlignment w:val="auto"/>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未报送2023年度、2024年度的年度报告并公示，被我局列入经营异常名录，同时未进行注销登记。2025年7月17日和2025年8月18日，我局执法人员通过中国邮政向当事人住所邮寄提醒履行年报义务的挂号信2封，均因无人签收、无法联系到当事人被退回。2025年7月3日和7月23日，我局执法人员依法对当事人住所进行现场检查，未发现当事人在注册登记住所开展经营活动，我局执法人员现场拨打当事人注册登记的联系电话，无法联系到当事人法定代表人。2025年9月15日，经国家税务总局昆玉税务局协查，当事人未在国家税务总局昆玉税务局办理登记信息，无纳税申报记录。</w:t>
      </w:r>
    </w:p>
    <w:p w14:paraId="44C72EF3">
      <w:pPr>
        <w:pStyle w:val="6"/>
        <w:keepNext w:val="0"/>
        <w:keepLines w:val="0"/>
        <w:pageBreakBefore w:val="0"/>
        <w:widowControl/>
        <w:kinsoku/>
        <w:wordWrap/>
        <w:overflowPunct/>
        <w:topLinePunct/>
        <w:autoSpaceDE w:val="0"/>
        <w:autoSpaceDN/>
        <w:bidi w:val="0"/>
        <w:adjustRightInd/>
        <w:snapToGrid/>
        <w:spacing w:line="540" w:lineRule="exact"/>
        <w:ind w:firstLine="640" w:firstLineChars="200"/>
        <w:jc w:val="both"/>
        <w:textAlignment w:val="auto"/>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为进一步查明事实，我局于2025年9月23日立案调查。</w:t>
      </w:r>
    </w:p>
    <w:p w14:paraId="79FD9785">
      <w:pPr>
        <w:pStyle w:val="6"/>
        <w:keepNext w:val="0"/>
        <w:keepLines w:val="0"/>
        <w:pageBreakBefore w:val="0"/>
        <w:widowControl/>
        <w:kinsoku/>
        <w:wordWrap/>
        <w:overflowPunct/>
        <w:topLinePunct/>
        <w:autoSpaceDE w:val="0"/>
        <w:autoSpaceDN/>
        <w:bidi w:val="0"/>
        <w:adjustRightInd/>
        <w:snapToGrid/>
        <w:spacing w:line="540" w:lineRule="exact"/>
        <w:ind w:firstLine="640" w:firstLineChars="200"/>
        <w:jc w:val="both"/>
        <w:textAlignment w:val="auto"/>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2025年7月3日和7月23日，我局执法人员依法对当事人注册登记住所进行现场检查，并制作现场笔录共2份，由四十七团昆仑社区两委</w:t>
      </w:r>
      <w:r>
        <w:rPr>
          <w:rFonts w:hint="eastAsia" w:ascii="Times New Roman" w:hAnsi="Times New Roman" w:eastAsia="仿宋_GB2312" w:cs="Times New Roman"/>
          <w:color w:val="auto"/>
          <w:sz w:val="32"/>
          <w:szCs w:val="32"/>
          <w:highlight w:val="none"/>
          <w:lang w:val="en-US" w:eastAsia="zh-CN"/>
        </w:rPr>
        <w:t>干部</w:t>
      </w:r>
      <w:r>
        <w:rPr>
          <w:rFonts w:hint="eastAsia" w:ascii="Times New Roman" w:hAnsi="Times New Roman" w:eastAsia="仿宋_GB2312" w:cs="Times New Roman"/>
          <w:color w:val="auto"/>
          <w:sz w:val="32"/>
          <w:szCs w:val="32"/>
          <w:highlight w:val="none"/>
        </w:rPr>
        <w:t>作为见证人签字确认。调查过程中，依法提取了当事人年报信息、企业信用信息公示报告等证据材料，调查全过程使用执法记录仪摄像记录。</w:t>
      </w:r>
    </w:p>
    <w:p w14:paraId="4FECF8D2">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lang w:val="en-US" w:eastAsia="zh-CN"/>
        </w:rPr>
      </w:pPr>
      <w:r>
        <w:rPr>
          <w:rFonts w:hint="eastAsia" w:ascii="Times New Roman" w:hAnsi="Times New Roman" w:eastAsia="仿宋_GB2312" w:cs="Times New Roman"/>
          <w:snapToGrid w:val="0"/>
          <w:color w:val="auto"/>
          <w:spacing w:val="0"/>
          <w:sz w:val="32"/>
          <w:szCs w:val="32"/>
          <w:lang w:val="en-US" w:eastAsia="zh-CN"/>
        </w:rPr>
        <w:t>经查询国家企业信用信息公示系统，当事人于2019年1月9日注册成立，统一社会信用代码：93659009MA786Q844Q，登记状态：存续（在营、开业、在册），登记住所：新疆昆玉市昆仑镇团部10号门面房，法定代表人：邓亚峰。</w:t>
      </w:r>
    </w:p>
    <w:p w14:paraId="5C8008C8">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lang w:val="en-US" w:eastAsia="zh-CN"/>
        </w:rPr>
      </w:pPr>
      <w:r>
        <w:rPr>
          <w:rFonts w:hint="eastAsia" w:ascii="Times New Roman" w:hAnsi="Times New Roman" w:eastAsia="仿宋_GB2312" w:cs="Times New Roman"/>
          <w:snapToGrid w:val="0"/>
          <w:color w:val="auto"/>
          <w:spacing w:val="0"/>
          <w:sz w:val="32"/>
          <w:szCs w:val="32"/>
          <w:lang w:val="en-US" w:eastAsia="zh-CN"/>
        </w:rPr>
        <w:t>经查询国家企业信用信息公示系统经营异常名录、严重违法失信名单（黑名单）、兵团市场监管综合审批平台得知，2020年5月11日，当事人</w:t>
      </w:r>
      <w:r>
        <w:rPr>
          <w:rFonts w:hint="eastAsia" w:ascii="Times New Roman" w:hAnsi="Times New Roman" w:eastAsia="仿宋_GB2312" w:cs="Times New Roman"/>
          <w:snapToGrid w:val="0"/>
          <w:color w:val="auto"/>
          <w:spacing w:val="0"/>
          <w:sz w:val="32"/>
          <w:szCs w:val="32"/>
        </w:rPr>
        <w:t>按照《农民专业合作社年度报告公示暂行办法》第四条第一款规定的期限</w:t>
      </w:r>
      <w:r>
        <w:rPr>
          <w:rFonts w:hint="eastAsia" w:ascii="Times New Roman" w:hAnsi="Times New Roman" w:eastAsia="仿宋_GB2312" w:cs="Times New Roman"/>
          <w:snapToGrid w:val="0"/>
          <w:color w:val="auto"/>
          <w:spacing w:val="0"/>
          <w:sz w:val="32"/>
          <w:szCs w:val="32"/>
          <w:lang w:val="en-US" w:eastAsia="zh-CN"/>
        </w:rPr>
        <w:t>报送并公示2019年年度报告；2021年6月08日，当事人</w:t>
      </w:r>
      <w:r>
        <w:rPr>
          <w:rFonts w:hint="eastAsia" w:ascii="Times New Roman" w:hAnsi="Times New Roman" w:eastAsia="仿宋_GB2312" w:cs="Times New Roman"/>
          <w:snapToGrid w:val="0"/>
          <w:color w:val="auto"/>
          <w:spacing w:val="0"/>
          <w:sz w:val="32"/>
          <w:szCs w:val="32"/>
        </w:rPr>
        <w:t>按照《农民专业合作社年度报告公示暂行办法》第四条第一款规定的期限</w:t>
      </w:r>
      <w:r>
        <w:rPr>
          <w:rFonts w:hint="eastAsia" w:ascii="Times New Roman" w:hAnsi="Times New Roman" w:eastAsia="仿宋_GB2312" w:cs="Times New Roman"/>
          <w:snapToGrid w:val="0"/>
          <w:color w:val="auto"/>
          <w:spacing w:val="0"/>
          <w:sz w:val="32"/>
          <w:szCs w:val="32"/>
          <w:lang w:val="en-US" w:eastAsia="zh-CN"/>
        </w:rPr>
        <w:t>报送并公示2020年年度报告；2022年7月04日，当事人因未按照《农民专业合作社年度报告公示暂行办法》第四条第一款规定的期限报送并公示2021年年度报告，被我局列入经营异常名录；2023年5月29日，当事人</w:t>
      </w:r>
      <w:r>
        <w:rPr>
          <w:rFonts w:hint="eastAsia" w:ascii="Times New Roman" w:hAnsi="Times New Roman" w:eastAsia="仿宋_GB2312" w:cs="Times New Roman"/>
          <w:snapToGrid w:val="0"/>
          <w:color w:val="auto"/>
          <w:spacing w:val="0"/>
          <w:sz w:val="32"/>
          <w:szCs w:val="32"/>
        </w:rPr>
        <w:t>按照《农民专业合作社年度报告公示暂行办法》第四条第一款规定的期限</w:t>
      </w:r>
      <w:r>
        <w:rPr>
          <w:rFonts w:hint="eastAsia" w:ascii="Times New Roman" w:hAnsi="Times New Roman" w:eastAsia="仿宋_GB2312" w:cs="Times New Roman"/>
          <w:snapToGrid w:val="0"/>
          <w:color w:val="auto"/>
          <w:spacing w:val="0"/>
          <w:sz w:val="32"/>
          <w:szCs w:val="32"/>
          <w:lang w:val="en-US" w:eastAsia="zh-CN"/>
        </w:rPr>
        <w:t>报送并公示2022年年度报告，并补报送2021年年度报告；2024年7月01日，当事人因未按照《农民专业合作社年度报告公示暂行办法》第四条第一款规定的期限报送并公示2023年年度报告，被我局列入经营异常名录；2025年7月01日，当事人因未按照《农民专业合作社年度报告公示暂行办法》第四条第一款规定的期限报送并公示2024年年度报告，被我局列入经营异常名录；经查询国家企业信用信息公示系统公告信息，暂无当事人市场主体歇业公告信息。</w:t>
      </w:r>
    </w:p>
    <w:p w14:paraId="6FB4CBA2">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lang w:val="en-US" w:eastAsia="zh-CN"/>
        </w:rPr>
      </w:pPr>
      <w:r>
        <w:rPr>
          <w:rFonts w:hint="eastAsia" w:ascii="Times New Roman" w:hAnsi="Times New Roman" w:eastAsia="仿宋_GB2312" w:cs="Times New Roman"/>
          <w:snapToGrid w:val="0"/>
          <w:color w:val="auto"/>
          <w:spacing w:val="0"/>
          <w:sz w:val="32"/>
          <w:szCs w:val="32"/>
          <w:lang w:val="en-US" w:eastAsia="zh-CN"/>
        </w:rPr>
        <w:t>经查，2025年7月17日和2025年8月18日，我局执法人员向当事人登记住所邮寄提醒履行年报义务的专用信函2封，邮件编号分别为XA20429051665、XA20428921265，均因无人签收，无法联系到当事人被新疆维吾尔自治区和田地区墨玉县皮墨垦区（营业）邮政支局退回。</w:t>
      </w:r>
    </w:p>
    <w:p w14:paraId="3EAA1C7B">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lang w:val="en-US" w:eastAsia="zh-CN"/>
        </w:rPr>
      </w:pPr>
      <w:r>
        <w:rPr>
          <w:rFonts w:hint="eastAsia" w:ascii="Times New Roman" w:hAnsi="Times New Roman" w:eastAsia="仿宋_GB2312" w:cs="Times New Roman"/>
          <w:snapToGrid w:val="0"/>
          <w:color w:val="auto"/>
          <w:spacing w:val="0"/>
          <w:sz w:val="32"/>
          <w:szCs w:val="32"/>
          <w:lang w:val="en-US" w:eastAsia="zh-CN"/>
        </w:rPr>
        <w:t>经查，2025年9月4日，我局依法向国家税务总局昆玉税务局发送《协助核查函》及附件材料（2023年度、2024年度连续两年未年报农专名单），请求国家税务总局昆玉税务局协助查询当事人的涉税信息。2025年9月15日，我局收到国家税务总局昆玉税务局出具的《关于协助核查企业信息的复函》及附件材料（企业信息名单），根据企业信息名单显示，当事人税务状态为未登记，未进行纳税申报。</w:t>
      </w:r>
    </w:p>
    <w:p w14:paraId="4731D55B">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lang w:val="en-US" w:eastAsia="zh-CN"/>
        </w:rPr>
      </w:pPr>
      <w:r>
        <w:rPr>
          <w:rFonts w:hint="eastAsia" w:ascii="Times New Roman" w:hAnsi="Times New Roman" w:eastAsia="仿宋_GB2312" w:cs="Times New Roman"/>
          <w:snapToGrid w:val="0"/>
          <w:color w:val="auto"/>
          <w:spacing w:val="0"/>
          <w:sz w:val="32"/>
          <w:szCs w:val="32"/>
          <w:lang w:val="en-US" w:eastAsia="zh-CN"/>
        </w:rPr>
        <w:t>经查，2025年7月3日和7月23日，我局执法人员依法对当事人注册登记住所新疆昆玉市昆仑镇团部10号门面房进行核查走访，经四十七团昆仑社区两委干部核对，该合作社于2019年注册营业执照后未在注册登记住所从事过经营活动。经现场排查，该住所未发现悬挂有昆玉市昆仑镇沙漠梧桐养殖专业合作社牌匾的农民专业合作社，四十七团团部实际没有昆玉市昆仑镇沙漠梧桐养殖专业合作社，该合作社从未在该住所从事实际经营活动，也未听说过法定代表人邓亚峰。经四十七团昆仑社区核对以及查询国家企业信息公示系统均无法获取当事人成员的联系方式，因此我局无法联系到当事人成员。我局执法人员现场拨打当事人注册登记的联系电话，电话显示为空号，我局无法联系到当事人法定代表人邓亚峰。</w:t>
      </w:r>
    </w:p>
    <w:p w14:paraId="7272E4EE">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lang w:val="en-US" w:eastAsia="zh-CN"/>
        </w:rPr>
      </w:pPr>
      <w:r>
        <w:rPr>
          <w:rFonts w:hint="eastAsia" w:ascii="Times New Roman" w:hAnsi="Times New Roman" w:eastAsia="仿宋_GB2312" w:cs="Times New Roman"/>
          <w:snapToGrid w:val="0"/>
          <w:color w:val="auto"/>
          <w:spacing w:val="0"/>
          <w:sz w:val="32"/>
          <w:szCs w:val="32"/>
          <w:lang w:val="en-US" w:eastAsia="zh-CN"/>
        </w:rPr>
        <w:t>虽然经四十七团昆仑社区核对当事人自2019年注册营业执照以来未在注册登记住所从事实际经营活动，但是经查询国家企业信用信息公示系统得知，当事人按照《农民专业合作社年度报告公示暂行办法》第四条第一款规定的期限报送并公示了2019年、2020年、2022年年度报告，同时在2023年05月29日补报送了2021年年度报告，因此执法人员认定当事人从2019年至2022年期间正常开展经营活动，实际未开展经营活动的时间为两年（2023年至2024年）。</w:t>
      </w:r>
    </w:p>
    <w:p w14:paraId="26F7D2D7">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lang w:val="en-US" w:eastAsia="zh-CN"/>
        </w:rPr>
      </w:pPr>
      <w:r>
        <w:rPr>
          <w:rFonts w:hint="eastAsia" w:ascii="Times New Roman" w:hAnsi="Times New Roman" w:eastAsia="仿宋_GB2312" w:cs="Times New Roman"/>
          <w:snapToGrid w:val="0"/>
          <w:color w:val="auto"/>
          <w:spacing w:val="0"/>
          <w:sz w:val="32"/>
          <w:szCs w:val="32"/>
          <w:lang w:val="en-US" w:eastAsia="zh-CN"/>
        </w:rPr>
        <w:t>综上，当事人从2023年至2024年期间连续两年未开展实际经营活动。</w:t>
      </w:r>
    </w:p>
    <w:p w14:paraId="7A363708">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lang w:val="en-US" w:eastAsia="zh-CN"/>
        </w:rPr>
      </w:pPr>
      <w:r>
        <w:rPr>
          <w:rFonts w:hint="eastAsia" w:ascii="Times New Roman" w:hAnsi="Times New Roman" w:eastAsia="仿宋_GB2312" w:cs="Times New Roman"/>
          <w:snapToGrid w:val="0"/>
          <w:color w:val="auto"/>
          <w:spacing w:val="0"/>
          <w:sz w:val="32"/>
          <w:szCs w:val="32"/>
          <w:lang w:val="en-US" w:eastAsia="zh-CN"/>
        </w:rPr>
        <w:t>本案对照相关法律法规，当事人的违法行为尚不构成移送追诉当事人刑事责任的条件。</w:t>
      </w:r>
    </w:p>
    <w:p w14:paraId="72674E66">
      <w:pPr>
        <w:keepNext w:val="0"/>
        <w:keepLines w:val="0"/>
        <w:pageBreakBefore w:val="0"/>
        <w:widowControl w:val="0"/>
        <w:kinsoku/>
        <w:wordWrap/>
        <w:overflowPunct/>
        <w:topLinePunct/>
        <w:autoSpaceDE w:val="0"/>
        <w:autoSpaceDN/>
        <w:bidi w:val="0"/>
        <w:adjustRightInd/>
        <w:snapToGrid/>
        <w:spacing w:line="540" w:lineRule="exact"/>
        <w:ind w:firstLine="643" w:firstLineChars="200"/>
        <w:jc w:val="left"/>
        <w:textAlignment w:val="auto"/>
        <w:rPr>
          <w:rFonts w:hint="eastAsia" w:ascii="Times New Roman" w:hAnsi="Times New Roman" w:eastAsia="仿宋_GB2312" w:cs="Times New Roman"/>
          <w:snapToGrid w:val="0"/>
          <w:color w:val="auto"/>
          <w:spacing w:val="0"/>
          <w:sz w:val="32"/>
          <w:szCs w:val="32"/>
          <w:lang w:eastAsia="zh-CN"/>
        </w:rPr>
      </w:pPr>
      <w:r>
        <w:rPr>
          <w:rFonts w:hint="eastAsia" w:ascii="仿宋_GB2312" w:hAnsi="仿宋_GB2312" w:eastAsia="仿宋_GB2312" w:cs="仿宋_GB2312"/>
          <w:b/>
          <w:bCs/>
          <w:snapToGrid w:val="0"/>
          <w:color w:val="auto"/>
          <w:spacing w:val="0"/>
          <w:sz w:val="32"/>
          <w:szCs w:val="32"/>
        </w:rPr>
        <w:t>上述事实，主要有以下证据证明</w:t>
      </w:r>
      <w:r>
        <w:rPr>
          <w:rFonts w:hint="eastAsia" w:ascii="仿宋_GB2312" w:hAnsi="仿宋_GB2312" w:eastAsia="仿宋_GB2312" w:cs="仿宋_GB2312"/>
          <w:b/>
          <w:bCs/>
          <w:snapToGrid w:val="0"/>
          <w:color w:val="auto"/>
          <w:spacing w:val="0"/>
          <w:sz w:val="32"/>
          <w:szCs w:val="32"/>
          <w:lang w:eastAsia="zh-CN"/>
        </w:rPr>
        <w:t>：</w:t>
      </w:r>
    </w:p>
    <w:p w14:paraId="0546808D">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1.我局执法人员2025年7月3日通过国家企业信用信息公示系统依法提取的当事人企业信用信息公示报告一份，证明当事人市场主体信息、当事人信用信息公示基本情况及连续两个年度未按规定报送并公示年度报告的事实；</w:t>
      </w:r>
    </w:p>
    <w:p w14:paraId="5CDA3DA0">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2.2025年7月3日、2025年7月23日，我局执法人员依法制作现场笔录两份，证明我局执法人员通过登记的住所未发现当事人主体及经营活动和现场无法联系到当事人法定代表人的事实；</w:t>
      </w:r>
    </w:p>
    <w:p w14:paraId="3FA90D72">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3.2025年7月3日，我局执法人员依法提取新疆生产建设兵团第十四师昆玉市四十七团昆仑社区居民委员会出具的证明一份，证明昆玉市昆仑镇沙漠梧桐养殖专业合作社从未在第十四师昆玉市四十七团团部从事经营活动的事实；</w:t>
      </w:r>
    </w:p>
    <w:p w14:paraId="3DCF456E">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4.2025年7月3日，我局执法人员依法提取新疆生产建设兵团第十四师昆玉市四十七团昆仑社区两委</w:t>
      </w:r>
      <w:r>
        <w:rPr>
          <w:rFonts w:hint="eastAsia" w:ascii="Times New Roman" w:hAnsi="Times New Roman" w:eastAsia="仿宋_GB2312" w:cs="Times New Roman"/>
          <w:snapToGrid w:val="0"/>
          <w:color w:val="auto"/>
          <w:spacing w:val="0"/>
          <w:sz w:val="32"/>
          <w:szCs w:val="32"/>
          <w:lang w:val="en-US" w:eastAsia="zh-CN"/>
        </w:rPr>
        <w:t>干部</w:t>
      </w:r>
      <w:r>
        <w:rPr>
          <w:rFonts w:hint="eastAsia" w:ascii="Times New Roman" w:hAnsi="Times New Roman" w:eastAsia="仿宋_GB2312" w:cs="Times New Roman"/>
          <w:snapToGrid w:val="0"/>
          <w:color w:val="auto"/>
          <w:spacing w:val="0"/>
          <w:sz w:val="32"/>
          <w:szCs w:val="32"/>
        </w:rPr>
        <w:t>的身份证复印件一份，证明见证人的身份信息；</w:t>
      </w:r>
    </w:p>
    <w:p w14:paraId="1DF12AF0">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5.2025年7月3日，我局执法人员依法拍摄的当事人住所现场检查照片4张，证明当事人在注册登记住所未开展任何经营活动的事实；</w:t>
      </w:r>
    </w:p>
    <w:p w14:paraId="2C9D264F">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6.我局执法人员于2025年7月17日、2025年8月18日通过邮寄专用信函的方式与当事人联系，经向当事人登记住所两次邮寄专用信函，证明我局通过登记住所无法与当事人取得联系的事实；</w:t>
      </w:r>
    </w:p>
    <w:p w14:paraId="3F4E0EAE">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7.2025年9月4日，我局依法向国家税务总局昆玉税务局发送《协助核查函》及附件各一份，证明我局依法核实当事人涉税信息及核实税务登记的事实；</w:t>
      </w:r>
    </w:p>
    <w:p w14:paraId="6601CA29">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8.2025年9月15日，我局收到国家税务总局昆玉税务局出具的《关于协助核查企业信息的复函》及附件各一份，证明当事人的涉税信息及未办理税务登记及未进行纳税申报的事实。</w:t>
      </w:r>
    </w:p>
    <w:p w14:paraId="33D3685C">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以上证据材料均依照法定程序提取或收集，均由我局执法人员依法查询，符合法定形式。</w:t>
      </w:r>
    </w:p>
    <w:p w14:paraId="412AB218">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案件办理过程中，我局执法人员在邮寄专用信函时已告知当事人依法享有陈述、申辩的权利，因无人签收，无法联系到当事人被墨玉县皮墨垦区邮政支局退回，我局未收到当事人陈述、申辩材料。2025年11月17日，我局执法人员依法制作《第十四师市场监督管理局行政处罚告知书》（十四师市监罚告〔2025〕</w:t>
      </w:r>
      <w:r>
        <w:rPr>
          <w:rFonts w:hint="eastAsia" w:ascii="Times New Roman" w:hAnsi="Times New Roman" w:eastAsia="仿宋_GB2312" w:cs="Times New Roman"/>
          <w:color w:val="auto"/>
          <w:sz w:val="32"/>
          <w:szCs w:val="32"/>
          <w:lang w:val="en-US" w:eastAsia="zh-CN"/>
        </w:rPr>
        <w:t>74</w:t>
      </w:r>
      <w:r>
        <w:rPr>
          <w:rFonts w:hint="default" w:ascii="Times New Roman" w:hAnsi="Times New Roman" w:eastAsia="仿宋_GB2312" w:cs="Times New Roman"/>
          <w:color w:val="auto"/>
          <w:sz w:val="32"/>
          <w:szCs w:val="32"/>
        </w:rPr>
        <w:t>号），文书内容包括拟作出的行政处罚内容以及事实、理由、依据，以及当事人依法享有的陈述、申辩以及要求听证的权利。2025年11月17日，通过第十四师昆玉市政务网站、国家企业信用信息公示系统发布《第十四师市场监督管理局行政处罚文书送达公告》（第十四师市监罚送告〔2025〕1</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号），告知当事人享有陈述、申辩、听证的权利，</w:t>
      </w:r>
      <w:r>
        <w:rPr>
          <w:rFonts w:hint="eastAsia" w:ascii="Times New Roman" w:hAnsi="Times New Roman" w:eastAsia="仿宋_GB2312" w:cs="Times New Roman"/>
          <w:color w:val="auto"/>
          <w:sz w:val="32"/>
          <w:szCs w:val="32"/>
          <w:lang w:val="en-US" w:eastAsia="zh-CN"/>
        </w:rPr>
        <w:t>当事人在法定期限内未</w:t>
      </w:r>
      <w:r>
        <w:rPr>
          <w:rFonts w:hint="default" w:ascii="Times New Roman" w:hAnsi="Times New Roman" w:eastAsia="仿宋_GB2312" w:cs="Times New Roman"/>
          <w:color w:val="auto"/>
          <w:sz w:val="32"/>
          <w:szCs w:val="32"/>
        </w:rPr>
        <w:t>提出陈述、申辩、听证申请。自公告发布之日起三十日内，当事人也未到本局领取《第十四师市场监督管理局行政处罚告知书》（十四师市监罚告〔2025〕</w:t>
      </w:r>
      <w:r>
        <w:rPr>
          <w:rFonts w:hint="eastAsia" w:ascii="Times New Roman" w:hAnsi="Times New Roman" w:eastAsia="仿宋_GB2312" w:cs="Times New Roman"/>
          <w:color w:val="auto"/>
          <w:sz w:val="32"/>
          <w:szCs w:val="32"/>
          <w:lang w:val="en-US" w:eastAsia="zh-CN"/>
        </w:rPr>
        <w:t>74</w:t>
      </w:r>
      <w:r>
        <w:rPr>
          <w:rFonts w:hint="default" w:ascii="Times New Roman" w:hAnsi="Times New Roman" w:eastAsia="仿宋_GB2312" w:cs="Times New Roman"/>
          <w:color w:val="auto"/>
          <w:sz w:val="32"/>
          <w:szCs w:val="32"/>
        </w:rPr>
        <w:t>号）。</w:t>
      </w:r>
    </w:p>
    <w:p w14:paraId="796BF717">
      <w:pPr>
        <w:keepNext w:val="0"/>
        <w:keepLines w:val="0"/>
        <w:pageBreakBefore w:val="0"/>
        <w:widowControl w:val="0"/>
        <w:kinsoku/>
        <w:wordWrap/>
        <w:overflowPunct/>
        <w:topLinePunct/>
        <w:autoSpaceDE w:val="0"/>
        <w:autoSpaceDN/>
        <w:bidi w:val="0"/>
        <w:adjustRightInd/>
        <w:snapToGrid/>
        <w:spacing w:line="540" w:lineRule="exact"/>
        <w:ind w:firstLine="643" w:firstLineChars="200"/>
        <w:jc w:val="left"/>
        <w:textAlignment w:val="auto"/>
        <w:rPr>
          <w:rFonts w:hint="default" w:ascii="Times New Roman" w:hAnsi="Times New Roman" w:eastAsia="仿宋_GB2312" w:cs="Times New Roman"/>
          <w:color w:val="C00000"/>
          <w:sz w:val="32"/>
          <w:szCs w:val="32"/>
          <w:highlight w:val="none"/>
        </w:rPr>
      </w:pPr>
      <w:r>
        <w:rPr>
          <w:rFonts w:hint="default" w:ascii="Times New Roman" w:hAnsi="Times New Roman" w:eastAsia="仿宋_GB2312" w:cs="Times New Roman"/>
          <w:b/>
          <w:color w:val="auto"/>
          <w:sz w:val="32"/>
          <w:szCs w:val="32"/>
        </w:rPr>
        <w:t>本局认为</w:t>
      </w:r>
      <w:r>
        <w:rPr>
          <w:rFonts w:hint="default" w:ascii="Times New Roman" w:hAnsi="Times New Roman" w:eastAsia="仿宋_GB2312" w:cs="Times New Roman"/>
          <w:bCs/>
          <w:color w:val="auto"/>
          <w:sz w:val="32"/>
          <w:szCs w:val="32"/>
        </w:rPr>
        <w:t>，</w:t>
      </w:r>
      <w:r>
        <w:rPr>
          <w:rFonts w:hint="eastAsia" w:ascii="Times New Roman" w:hAnsi="Times New Roman" w:eastAsia="仿宋_GB2312" w:cs="Times New Roman"/>
          <w:color w:val="auto"/>
          <w:sz w:val="32"/>
          <w:szCs w:val="32"/>
          <w:highlight w:val="none"/>
        </w:rPr>
        <w:t>当事人连续</w:t>
      </w:r>
      <w:r>
        <w:rPr>
          <w:rFonts w:hint="eastAsia" w:ascii="Times New Roman" w:hAnsi="Times New Roman" w:eastAsia="仿宋_GB2312" w:cs="Times New Roman"/>
          <w:color w:val="auto"/>
          <w:sz w:val="32"/>
          <w:szCs w:val="32"/>
          <w:highlight w:val="none"/>
          <w:lang w:val="en-US" w:eastAsia="zh-CN"/>
        </w:rPr>
        <w:t>两</w:t>
      </w:r>
      <w:r>
        <w:rPr>
          <w:rFonts w:hint="eastAsia" w:ascii="Times New Roman" w:hAnsi="Times New Roman" w:eastAsia="仿宋_GB2312" w:cs="Times New Roman"/>
          <w:color w:val="auto"/>
          <w:sz w:val="32"/>
          <w:szCs w:val="32"/>
          <w:highlight w:val="none"/>
        </w:rPr>
        <w:t>年未开展</w:t>
      </w:r>
      <w:r>
        <w:rPr>
          <w:rFonts w:hint="eastAsia" w:ascii="Times New Roman" w:hAnsi="Times New Roman" w:eastAsia="仿宋_GB2312" w:cs="Times New Roman"/>
          <w:color w:val="auto"/>
          <w:sz w:val="32"/>
          <w:szCs w:val="32"/>
          <w:highlight w:val="none"/>
          <w:lang w:val="en-US" w:eastAsia="zh-CN"/>
        </w:rPr>
        <w:t>实际</w:t>
      </w:r>
      <w:r>
        <w:rPr>
          <w:rFonts w:hint="eastAsia" w:ascii="Times New Roman" w:hAnsi="Times New Roman" w:eastAsia="仿宋_GB2312" w:cs="Times New Roman"/>
          <w:color w:val="auto"/>
          <w:sz w:val="32"/>
          <w:szCs w:val="32"/>
          <w:highlight w:val="none"/>
        </w:rPr>
        <w:t>经营活动的行为，违反了《中华人民共和国农民专业合作社法》第七十一条“农民专业合作社连续两年未从事经营活动的，吊销其营业执照。”的规定，</w:t>
      </w:r>
      <w:r>
        <w:rPr>
          <w:rFonts w:hint="eastAsia" w:ascii="Times New Roman" w:hAnsi="Times New Roman" w:eastAsia="仿宋_GB2312" w:cs="Times New Roman"/>
          <w:color w:val="auto"/>
          <w:sz w:val="32"/>
          <w:szCs w:val="32"/>
          <w:highlight w:val="none"/>
          <w:lang w:val="en-US" w:eastAsia="zh-CN"/>
        </w:rPr>
        <w:t>构成</w:t>
      </w:r>
      <w:r>
        <w:rPr>
          <w:rFonts w:hint="eastAsia" w:ascii="Times New Roman" w:hAnsi="Times New Roman" w:eastAsia="仿宋_GB2312" w:cs="Times New Roman"/>
          <w:color w:val="auto"/>
          <w:sz w:val="32"/>
          <w:szCs w:val="32"/>
          <w:highlight w:val="none"/>
        </w:rPr>
        <w:t>连续</w:t>
      </w:r>
      <w:r>
        <w:rPr>
          <w:rFonts w:hint="eastAsia" w:ascii="Times New Roman" w:hAnsi="Times New Roman" w:eastAsia="仿宋_GB2312" w:cs="Times New Roman"/>
          <w:color w:val="auto"/>
          <w:sz w:val="32"/>
          <w:szCs w:val="32"/>
          <w:highlight w:val="none"/>
          <w:lang w:val="en-US" w:eastAsia="zh-CN"/>
        </w:rPr>
        <w:t>两</w:t>
      </w:r>
      <w:r>
        <w:rPr>
          <w:rFonts w:hint="eastAsia" w:ascii="Times New Roman" w:hAnsi="Times New Roman" w:eastAsia="仿宋_GB2312" w:cs="Times New Roman"/>
          <w:color w:val="auto"/>
          <w:sz w:val="32"/>
          <w:szCs w:val="32"/>
          <w:highlight w:val="none"/>
        </w:rPr>
        <w:t>年未从事经营活动的违法行为。依据</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》第七十一条“农民专业合作社连续两年未从事经营活动的，吊销其营业执照。”的规定</w:t>
      </w:r>
      <w:r>
        <w:rPr>
          <w:rFonts w:hint="default"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val="en-US" w:eastAsia="zh-CN"/>
        </w:rPr>
        <w:t>本局</w:t>
      </w:r>
      <w:r>
        <w:rPr>
          <w:rFonts w:hint="default" w:ascii="Times New Roman" w:hAnsi="Times New Roman" w:eastAsia="仿宋_GB2312" w:cs="Times New Roman"/>
          <w:color w:val="auto"/>
          <w:sz w:val="32"/>
          <w:szCs w:val="32"/>
        </w:rPr>
        <w:t>应当</w:t>
      </w:r>
      <w:r>
        <w:rPr>
          <w:rFonts w:hint="eastAsia" w:ascii="仿宋_GB2312" w:hAnsi="仿宋_GB2312" w:eastAsia="仿宋_GB2312" w:cs="仿宋_GB2312"/>
          <w:bCs/>
          <w:color w:val="auto"/>
          <w:sz w:val="32"/>
          <w:szCs w:val="32"/>
          <w:highlight w:val="none"/>
          <w:lang w:val="en-US" w:eastAsia="zh-CN"/>
        </w:rPr>
        <w:t>吊销</w:t>
      </w:r>
      <w:r>
        <w:rPr>
          <w:rFonts w:hint="eastAsia" w:ascii="仿宋_GB2312" w:hAnsi="仿宋_GB2312" w:eastAsia="仿宋_GB2312" w:cs="仿宋_GB2312"/>
          <w:color w:val="auto"/>
          <w:spacing w:val="-6"/>
          <w:sz w:val="32"/>
          <w:szCs w:val="32"/>
          <w:highlight w:val="none"/>
          <w:u w:val="none"/>
          <w:lang w:val="en-US" w:eastAsia="zh-CN"/>
        </w:rPr>
        <w:t>当事人的营业执照</w:t>
      </w:r>
      <w:r>
        <w:rPr>
          <w:rFonts w:hint="default" w:ascii="Times New Roman" w:hAnsi="Times New Roman" w:eastAsia="仿宋_GB2312" w:cs="Times New Roman"/>
          <w:color w:val="auto"/>
          <w:sz w:val="32"/>
          <w:szCs w:val="32"/>
          <w:highlight w:val="none"/>
        </w:rPr>
        <w:t>。</w:t>
      </w:r>
    </w:p>
    <w:p w14:paraId="7285DBE6">
      <w:pPr>
        <w:pStyle w:val="6"/>
        <w:keepNext w:val="0"/>
        <w:keepLines w:val="0"/>
        <w:pageBreakBefore w:val="0"/>
        <w:widowControl w:val="0"/>
        <w:kinsoku/>
        <w:wordWrap/>
        <w:overflowPunct/>
        <w:topLinePunct/>
        <w:autoSpaceDE w:val="0"/>
        <w:autoSpaceDN/>
        <w:bidi w:val="0"/>
        <w:adjustRightInd/>
        <w:snapToGrid/>
        <w:spacing w:line="540" w:lineRule="exact"/>
        <w:ind w:firstLine="640"/>
        <w:jc w:val="left"/>
        <w:textAlignment w:val="auto"/>
        <w:rPr>
          <w:rFonts w:hint="eastAsia" w:ascii="仿宋_GB2312" w:hAnsi="仿宋_GB2312" w:eastAsia="仿宋_GB2312" w:cs="仿宋_GB2312"/>
          <w:color w:val="auto"/>
          <w:spacing w:val="0"/>
          <w:w w:val="100"/>
          <w:sz w:val="32"/>
          <w:szCs w:val="32"/>
          <w:highlight w:val="none"/>
          <w:u w:val="none" w:color="auto"/>
          <w:shd w:val="clear" w:color="auto" w:fill="auto"/>
          <w:lang w:val="en-US" w:eastAsia="zh-CN"/>
        </w:rPr>
      </w:pPr>
      <w:r>
        <w:rPr>
          <w:rFonts w:hint="eastAsia" w:ascii="仿宋_GB2312" w:hAnsi="仿宋_GB2312" w:eastAsia="仿宋_GB2312" w:cs="仿宋_GB2312"/>
          <w:color w:val="auto"/>
          <w:spacing w:val="0"/>
          <w:w w:val="100"/>
          <w:sz w:val="32"/>
          <w:szCs w:val="32"/>
          <w:highlight w:val="none"/>
          <w:u w:val="none" w:color="auto"/>
          <w:shd w:val="clear" w:color="auto" w:fill="auto"/>
          <w:lang w:val="en-US" w:eastAsia="zh-CN"/>
        </w:rPr>
        <w:t>当事人</w:t>
      </w:r>
      <w:r>
        <w:rPr>
          <w:rFonts w:hint="eastAsia" w:ascii="仿宋_GB2312" w:hAnsi="仿宋_GB2312" w:eastAsia="仿宋_GB2312" w:cs="仿宋_GB2312"/>
          <w:color w:val="auto"/>
          <w:sz w:val="32"/>
          <w:szCs w:val="32"/>
          <w:highlight w:val="none"/>
          <w:u w:val="none"/>
          <w:lang w:val="en-US" w:eastAsia="zh-CN"/>
        </w:rPr>
        <w:t>连续两年未开展实际经营活动，扰乱了市场主体登记管理秩序，且《新疆维吾尔自治区 新疆生产建设兵团市场监督管理行政处罚裁量权适用规定》及《新疆维吾尔自治区 新疆生产建设兵团市场监督管理行政处罚裁量基准（</w:t>
      </w:r>
      <w:r>
        <w:rPr>
          <w:rFonts w:hint="eastAsia" w:ascii="Times New Roman" w:hAnsi="Times New Roman" w:eastAsia="仿宋_GB2312" w:cs="Times New Roman"/>
          <w:color w:val="auto"/>
          <w:sz w:val="32"/>
          <w:szCs w:val="32"/>
          <w:lang w:val="en-US" w:eastAsia="zh-CN" w:bidi="ar-SA"/>
        </w:rPr>
        <w:t>2024</w:t>
      </w:r>
      <w:r>
        <w:rPr>
          <w:rFonts w:hint="eastAsia" w:ascii="仿宋_GB2312" w:hAnsi="仿宋_GB2312" w:eastAsia="仿宋_GB2312" w:cs="仿宋_GB2312"/>
          <w:color w:val="auto"/>
          <w:sz w:val="32"/>
          <w:szCs w:val="32"/>
          <w:highlight w:val="none"/>
          <w:u w:val="none"/>
          <w:lang w:val="en-US" w:eastAsia="zh-CN"/>
        </w:rPr>
        <w:t>年版）》未对当事人的该类型违法行为作出自由裁量，因此</w:t>
      </w:r>
      <w:r>
        <w:rPr>
          <w:rFonts w:hint="eastAsia" w:ascii="仿宋_GB2312" w:hAnsi="仿宋_GB2312" w:eastAsia="仿宋_GB2312" w:cs="仿宋_GB2312"/>
          <w:color w:val="auto"/>
          <w:spacing w:val="0"/>
          <w:w w:val="100"/>
          <w:sz w:val="32"/>
          <w:szCs w:val="32"/>
          <w:highlight w:val="none"/>
          <w:u w:val="none" w:color="auto"/>
          <w:shd w:val="clear" w:color="auto" w:fill="auto"/>
          <w:lang w:val="en-US" w:eastAsia="zh-CN"/>
        </w:rPr>
        <w:t>违法行为人不具备不予行政处罚、减轻、从轻行政处罚的情形。</w:t>
      </w:r>
    </w:p>
    <w:p w14:paraId="699BCD4B">
      <w:pPr>
        <w:pStyle w:val="6"/>
        <w:keepNext w:val="0"/>
        <w:keepLines w:val="0"/>
        <w:pageBreakBefore w:val="0"/>
        <w:widowControl w:val="0"/>
        <w:kinsoku/>
        <w:wordWrap/>
        <w:overflowPunct/>
        <w:topLinePunct/>
        <w:autoSpaceDE w:val="0"/>
        <w:autoSpaceDN/>
        <w:bidi w:val="0"/>
        <w:adjustRightInd/>
        <w:snapToGrid/>
        <w:spacing w:line="540" w:lineRule="exact"/>
        <w:ind w:firstLine="640"/>
        <w:jc w:val="left"/>
        <w:textAlignment w:val="auto"/>
        <w:rPr>
          <w:rFonts w:hint="default" w:ascii="Times New Roman" w:hAnsi="Times New Roman" w:eastAsia="仿宋_GB2312" w:cs="Times New Roman"/>
          <w:snapToGrid w:val="0"/>
          <w:color w:val="auto"/>
          <w:spacing w:val="0"/>
          <w:sz w:val="32"/>
          <w:szCs w:val="32"/>
          <w:highlight w:val="none"/>
        </w:rPr>
      </w:pPr>
      <w:r>
        <w:rPr>
          <w:rFonts w:hint="default" w:ascii="Times New Roman" w:hAnsi="Times New Roman" w:eastAsia="仿宋_GB2312" w:cs="Times New Roman"/>
          <w:snapToGrid w:val="0"/>
          <w:color w:val="auto"/>
          <w:spacing w:val="0"/>
          <w:sz w:val="32"/>
          <w:szCs w:val="32"/>
        </w:rPr>
        <w:t>综上，当事人</w:t>
      </w:r>
      <w:r>
        <w:rPr>
          <w:rFonts w:hint="eastAsia" w:ascii="仿宋_GB2312" w:hAnsi="仿宋_GB2312" w:eastAsia="仿宋_GB2312" w:cs="仿宋_GB2312"/>
          <w:color w:val="auto"/>
          <w:spacing w:val="4"/>
          <w:sz w:val="32"/>
          <w:szCs w:val="32"/>
          <w:highlight w:val="none"/>
          <w:u w:val="none" w:color="auto"/>
          <w:lang w:val="en-US" w:eastAsia="zh-CN"/>
        </w:rPr>
        <w:t>的</w:t>
      </w:r>
      <w:r>
        <w:rPr>
          <w:rFonts w:hint="default" w:ascii="Times New Roman" w:hAnsi="Times New Roman" w:eastAsia="仿宋_GB2312" w:cs="Times New Roman"/>
          <w:color w:val="auto"/>
          <w:sz w:val="32"/>
          <w:szCs w:val="32"/>
          <w:highlight w:val="none"/>
          <w:u w:val="none"/>
          <w:lang w:val="en-US" w:eastAsia="zh-CN"/>
        </w:rPr>
        <w:t>行为</w:t>
      </w:r>
      <w:r>
        <w:rPr>
          <w:rFonts w:hint="default" w:ascii="Times New Roman" w:hAnsi="Times New Roman" w:eastAsia="仿宋_GB2312" w:cs="Times New Roman"/>
          <w:snapToGrid w:val="0"/>
          <w:color w:val="auto"/>
          <w:spacing w:val="0"/>
          <w:sz w:val="32"/>
          <w:szCs w:val="32"/>
        </w:rPr>
        <w:t>违反了《中华人民共和国农民专业合作社法》第七十一条的规定，依据《中华人民共和国农民专业合作社法》第七十一条的规定，</w:t>
      </w:r>
      <w:r>
        <w:rPr>
          <w:rFonts w:hint="eastAsia" w:ascii="Times New Roman" w:hAnsi="Times New Roman" w:eastAsia="仿宋_GB2312" w:cs="Times New Roman"/>
          <w:snapToGrid w:val="0"/>
          <w:color w:val="auto"/>
          <w:spacing w:val="0"/>
          <w:sz w:val="32"/>
          <w:szCs w:val="32"/>
          <w:lang w:val="en-US" w:eastAsia="zh-CN"/>
        </w:rPr>
        <w:t>本局决定对当事人作出处罚如下</w:t>
      </w:r>
      <w:r>
        <w:rPr>
          <w:rFonts w:hint="default" w:ascii="Times New Roman" w:hAnsi="Times New Roman" w:eastAsia="仿宋_GB2312" w:cs="Times New Roman"/>
          <w:snapToGrid w:val="0"/>
          <w:color w:val="auto"/>
          <w:spacing w:val="0"/>
          <w:sz w:val="32"/>
          <w:szCs w:val="32"/>
        </w:rPr>
        <w:t>：</w:t>
      </w:r>
    </w:p>
    <w:p w14:paraId="37A93B09">
      <w:pPr>
        <w:pStyle w:val="6"/>
        <w:keepNext w:val="0"/>
        <w:keepLines w:val="0"/>
        <w:pageBreakBefore w:val="0"/>
        <w:widowControl w:val="0"/>
        <w:kinsoku/>
        <w:wordWrap/>
        <w:overflowPunct/>
        <w:topLinePunct/>
        <w:autoSpaceDE w:val="0"/>
        <w:autoSpaceDN/>
        <w:bidi w:val="0"/>
        <w:adjustRightInd/>
        <w:snapToGrid/>
        <w:spacing w:line="540" w:lineRule="exact"/>
        <w:ind w:firstLine="640" w:firstLineChars="200"/>
        <w:jc w:val="left"/>
        <w:textAlignment w:val="auto"/>
        <w:rPr>
          <w:rFonts w:ascii="Times New Roman" w:hAnsi="Times New Roman" w:eastAsia="仿宋_GB2312" w:cs="Times New Roman"/>
          <w:color w:val="auto"/>
          <w:sz w:val="32"/>
          <w:szCs w:val="32"/>
          <w:highlight w:val="none"/>
        </w:rPr>
      </w:pPr>
      <w:r>
        <w:rPr>
          <w:rFonts w:hint="default" w:ascii="Times New Roman" w:hAnsi="Times New Roman" w:eastAsia="仿宋_GB2312" w:cs="Times New Roman"/>
          <w:snapToGrid w:val="0"/>
          <w:color w:val="auto"/>
          <w:spacing w:val="0"/>
          <w:sz w:val="32"/>
          <w:szCs w:val="32"/>
        </w:rPr>
        <w:t>吊销昆玉市昆仑镇沙漠梧桐养殖专业合作社（统一社会信用代码：93659009MA786Q844Q）的营业执照。</w:t>
      </w:r>
    </w:p>
    <w:p w14:paraId="0D7C64D0">
      <w:pPr>
        <w:pStyle w:val="7"/>
        <w:keepNext w:val="0"/>
        <w:keepLines w:val="0"/>
        <w:pageBreakBefore w:val="0"/>
        <w:widowControl w:val="0"/>
        <w:kinsoku/>
        <w:wordWrap/>
        <w:overflowPunct/>
        <w:topLinePunct/>
        <w:autoSpaceDE w:val="0"/>
        <w:autoSpaceDN/>
        <w:bidi w:val="0"/>
        <w:adjustRightInd/>
        <w:snapToGrid/>
        <w:spacing w:line="540" w:lineRule="exact"/>
        <w:ind w:firstLine="64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snapToGrid w:val="0"/>
          <w:color w:val="auto"/>
          <w:sz w:val="32"/>
          <w:szCs w:val="32"/>
          <w:highlight w:val="none"/>
          <w:lang w:val="en-US" w:eastAsia="zh-CN" w:bidi="ar-SA"/>
        </w:rPr>
        <w:t>如你（单位）不服</w:t>
      </w:r>
      <w:r>
        <w:rPr>
          <w:rFonts w:hint="eastAsia" w:ascii="Times New Roman" w:hAnsi="Times New Roman" w:cs="Times New Roman"/>
          <w:snapToGrid w:val="0"/>
          <w:color w:val="auto"/>
          <w:sz w:val="32"/>
          <w:szCs w:val="32"/>
          <w:highlight w:val="none"/>
          <w:lang w:val="en-US" w:eastAsia="zh-CN" w:bidi="ar-SA"/>
        </w:rPr>
        <w:t>本</w:t>
      </w:r>
      <w:r>
        <w:rPr>
          <w:rFonts w:hint="default" w:ascii="Times New Roman" w:hAnsi="Times New Roman" w:eastAsia="仿宋_GB2312" w:cs="Times New Roman"/>
          <w:color w:val="auto"/>
          <w:kern w:val="2"/>
          <w:sz w:val="32"/>
          <w:szCs w:val="32"/>
          <w:highlight w:val="none"/>
        </w:rPr>
        <w:t>行政处罚决定，可</w:t>
      </w:r>
      <w:r>
        <w:rPr>
          <w:rFonts w:hint="eastAsia" w:ascii="Times New Roman" w:hAnsi="Times New Roman" w:cs="Times New Roman"/>
          <w:color w:val="auto"/>
          <w:kern w:val="2"/>
          <w:sz w:val="32"/>
          <w:szCs w:val="32"/>
          <w:highlight w:val="none"/>
          <w:lang w:val="en-US" w:eastAsia="zh-CN"/>
        </w:rPr>
        <w:t>以</w:t>
      </w:r>
      <w:r>
        <w:rPr>
          <w:rFonts w:hint="default" w:ascii="Times New Roman" w:hAnsi="Times New Roman" w:eastAsia="仿宋_GB2312" w:cs="Times New Roman"/>
          <w:color w:val="auto"/>
          <w:kern w:val="2"/>
          <w:sz w:val="32"/>
          <w:szCs w:val="32"/>
          <w:highlight w:val="none"/>
        </w:rPr>
        <w:t>在收到本决定书之日起</w:t>
      </w:r>
      <w:r>
        <w:rPr>
          <w:rFonts w:hint="default" w:ascii="Times New Roman" w:hAnsi="Times New Roman" w:eastAsia="仿宋_GB2312" w:cs="Times New Roman"/>
          <w:color w:val="auto"/>
          <w:kern w:val="2"/>
          <w:sz w:val="32"/>
          <w:szCs w:val="32"/>
          <w:highlight w:val="none"/>
          <w:u w:val="single"/>
        </w:rPr>
        <w:t>六十日</w:t>
      </w:r>
      <w:r>
        <w:rPr>
          <w:rFonts w:hint="default" w:ascii="Times New Roman" w:hAnsi="Times New Roman" w:eastAsia="仿宋_GB2312" w:cs="Times New Roman"/>
          <w:color w:val="auto"/>
          <w:kern w:val="2"/>
          <w:sz w:val="32"/>
          <w:szCs w:val="32"/>
          <w:highlight w:val="none"/>
        </w:rPr>
        <w:t>内向</w:t>
      </w:r>
      <w:r>
        <w:rPr>
          <w:rFonts w:hint="default" w:ascii="Times New Roman" w:hAnsi="Times New Roman" w:eastAsia="仿宋_GB2312" w:cs="Times New Roman"/>
          <w:color w:val="auto"/>
          <w:kern w:val="2"/>
          <w:sz w:val="32"/>
          <w:szCs w:val="32"/>
          <w:highlight w:val="none"/>
          <w:u w:val="single"/>
        </w:rPr>
        <w:t>第十四师</w:t>
      </w:r>
      <w:r>
        <w:rPr>
          <w:rFonts w:hint="default" w:ascii="Times New Roman" w:hAnsi="Times New Roman" w:eastAsia="仿宋_GB2312" w:cs="Times New Roman"/>
          <w:color w:val="auto"/>
          <w:kern w:val="2"/>
          <w:sz w:val="32"/>
          <w:szCs w:val="32"/>
          <w:highlight w:val="none"/>
        </w:rPr>
        <w:t>申请行政复议，</w:t>
      </w:r>
      <w:r>
        <w:rPr>
          <w:rFonts w:hint="default" w:ascii="Times New Roman" w:hAnsi="Times New Roman" w:eastAsia="仿宋_GB2312" w:cs="Times New Roman"/>
          <w:color w:val="auto"/>
          <w:sz w:val="32"/>
          <w:szCs w:val="32"/>
          <w:highlight w:val="none"/>
        </w:rPr>
        <w:t>也可以在</w:t>
      </w:r>
      <w:r>
        <w:rPr>
          <w:rFonts w:hint="default" w:ascii="Times New Roman" w:hAnsi="Times New Roman" w:eastAsia="仿宋_GB2312" w:cs="Times New Roman"/>
          <w:color w:val="auto"/>
          <w:sz w:val="32"/>
          <w:szCs w:val="32"/>
          <w:highlight w:val="none"/>
          <w:u w:val="single"/>
        </w:rPr>
        <w:t>六个月</w:t>
      </w:r>
      <w:r>
        <w:rPr>
          <w:rFonts w:hint="default" w:ascii="Times New Roman" w:hAnsi="Times New Roman" w:eastAsia="仿宋_GB2312" w:cs="Times New Roman"/>
          <w:color w:val="auto"/>
          <w:sz w:val="32"/>
          <w:szCs w:val="32"/>
          <w:highlight w:val="none"/>
        </w:rPr>
        <w:t>内依法向</w:t>
      </w:r>
      <w:r>
        <w:rPr>
          <w:rFonts w:hint="default" w:ascii="Times New Roman" w:hAnsi="Times New Roman" w:eastAsia="仿宋_GB2312" w:cs="Times New Roman"/>
          <w:color w:val="auto"/>
          <w:sz w:val="32"/>
          <w:szCs w:val="32"/>
          <w:highlight w:val="none"/>
          <w:u w:val="single"/>
          <w:lang w:val="en-US" w:eastAsia="zh-CN"/>
        </w:rPr>
        <w:t>新疆生产建设兵团</w:t>
      </w:r>
      <w:r>
        <w:rPr>
          <w:rFonts w:hint="default" w:ascii="Times New Roman" w:hAnsi="Times New Roman" w:eastAsia="仿宋_GB2312" w:cs="Times New Roman"/>
          <w:color w:val="auto"/>
          <w:sz w:val="32"/>
          <w:szCs w:val="32"/>
          <w:highlight w:val="none"/>
          <w:u w:val="single"/>
        </w:rPr>
        <w:t>和田垦区人民法院</w:t>
      </w:r>
      <w:r>
        <w:rPr>
          <w:rFonts w:hint="default" w:ascii="Times New Roman" w:hAnsi="Times New Roman" w:eastAsia="仿宋_GB2312" w:cs="Times New Roman"/>
          <w:color w:val="auto"/>
          <w:sz w:val="32"/>
          <w:szCs w:val="32"/>
          <w:highlight w:val="none"/>
        </w:rPr>
        <w:t>提起行政诉讼。复议和诉讼期间，行政处罚不停止执行。</w:t>
      </w:r>
    </w:p>
    <w:p w14:paraId="2213DF75">
      <w:pPr>
        <w:pStyle w:val="7"/>
        <w:keepNext w:val="0"/>
        <w:keepLines w:val="0"/>
        <w:pageBreakBefore w:val="0"/>
        <w:widowControl w:val="0"/>
        <w:kinsoku/>
        <w:wordWrap/>
        <w:overflowPunct/>
        <w:topLinePunct/>
        <w:autoSpaceDE w:val="0"/>
        <w:autoSpaceDN/>
        <w:bidi w:val="0"/>
        <w:adjustRightInd/>
        <w:snapToGrid/>
        <w:spacing w:line="560" w:lineRule="exact"/>
        <w:ind w:firstLine="640"/>
        <w:jc w:val="left"/>
        <w:textAlignment w:val="auto"/>
        <w:rPr>
          <w:rFonts w:hint="default" w:ascii="Times New Roman" w:hAnsi="Times New Roman" w:eastAsia="仿宋_GB2312" w:cs="Times New Roman"/>
          <w:color w:val="auto"/>
          <w:sz w:val="32"/>
          <w:szCs w:val="32"/>
        </w:rPr>
      </w:pPr>
    </w:p>
    <w:p w14:paraId="2E97FF26">
      <w:pPr>
        <w:pStyle w:val="6"/>
        <w:ind w:left="0" w:leftChars="0" w:firstLine="0" w:firstLineChars="0"/>
      </w:pPr>
    </w:p>
    <w:p w14:paraId="003ED2D1">
      <w:pPr>
        <w:pStyle w:val="6"/>
        <w:ind w:left="0" w:leftChars="0" w:firstLine="0" w:firstLineChars="0"/>
      </w:pPr>
    </w:p>
    <w:p w14:paraId="61D798B6">
      <w:pPr>
        <w:widowControl w:val="0"/>
        <w:tabs>
          <w:tab w:val="left" w:pos="5667"/>
        </w:tabs>
        <w:kinsoku/>
        <w:topLinePunct/>
        <w:autoSpaceDN/>
        <w:spacing w:line="560" w:lineRule="atLeast"/>
        <w:ind w:firstLine="3817" w:firstLineChars="1193"/>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第十四师市场监督管理局 </w:t>
      </w:r>
    </w:p>
    <w:p w14:paraId="0C6364D4">
      <w:pPr>
        <w:widowControl w:val="0"/>
        <w:tabs>
          <w:tab w:val="left" w:pos="5667"/>
        </w:tabs>
        <w:kinsoku/>
        <w:topLinePunct/>
        <w:autoSpaceDN/>
        <w:spacing w:line="560" w:lineRule="atLeast"/>
        <w:ind w:firstLine="5120" w:firstLineChars="1600"/>
        <w:rPr>
          <w:rFonts w:ascii="仿宋_GB2312" w:hAnsi="仿宋_GB2312" w:eastAsia="仿宋_GB2312" w:cs="仿宋_GB2312"/>
          <w:sz w:val="32"/>
          <w:szCs w:val="32"/>
        </w:rPr>
      </w:pPr>
      <w:r>
        <w:rPr>
          <w:rFonts w:hint="eastAsia" w:ascii="仿宋_GB2312" w:hAnsi="仿宋_GB2312" w:eastAsia="仿宋_GB2312" w:cs="仿宋_GB2312"/>
          <w:sz w:val="32"/>
          <w:szCs w:val="32"/>
        </w:rPr>
        <w:t>（ 印 章 ）</w:t>
      </w:r>
    </w:p>
    <w:p w14:paraId="3492A344">
      <w:pPr>
        <w:widowControl w:val="0"/>
        <w:kinsoku/>
        <w:topLinePunct/>
        <w:autoSpaceDN/>
        <w:spacing w:line="560" w:lineRule="atLeast"/>
        <w:ind w:firstLine="4480" w:firstLineChars="1400"/>
        <w:rPr>
          <w:rFonts w:ascii="黑体" w:hAnsi="黑体" w:eastAsia="黑体" w:cs="黑体"/>
          <w:color w:val="231F20"/>
          <w:spacing w:val="-31"/>
          <w:w w:val="119"/>
          <w:sz w:val="32"/>
          <w:szCs w:val="32"/>
        </w:rPr>
      </w:pPr>
      <w:r>
        <w:rPr>
          <w:rFonts w:hint="eastAsia" w:ascii="Times New Roman" w:hAnsi="Times New Roman" w:eastAsia="仿宋_GB2312" w:cs="Times New Roman"/>
          <w:snapToGrid w:val="0"/>
          <w:color w:val="auto"/>
          <w:spacing w:val="0"/>
          <w:sz w:val="32"/>
          <w:szCs w:val="32"/>
          <w:lang w:val="en-US" w:eastAsia="zh-CN" w:bidi="ar-SA"/>
        </w:rPr>
        <w:t>2</w:t>
      </w:r>
      <w:r>
        <w:rPr>
          <w:rFonts w:hint="default" w:ascii="Times New Roman" w:hAnsi="Times New Roman" w:eastAsia="仿宋_GB2312" w:cs="Times New Roman"/>
          <w:snapToGrid w:val="0"/>
          <w:color w:val="auto"/>
          <w:spacing w:val="0"/>
          <w:sz w:val="32"/>
          <w:szCs w:val="32"/>
          <w:lang w:val="en-US" w:eastAsia="zh-CN" w:bidi="ar-SA"/>
        </w:rPr>
        <w:t>02</w:t>
      </w:r>
      <w:r>
        <w:rPr>
          <w:rFonts w:hint="eastAsia" w:ascii="Times New Roman" w:hAnsi="Times New Roman" w:eastAsia="仿宋_GB2312" w:cs="Times New Roman"/>
          <w:snapToGrid w:val="0"/>
          <w:color w:val="auto"/>
          <w:spacing w:val="0"/>
          <w:sz w:val="32"/>
          <w:szCs w:val="32"/>
          <w:lang w:val="en-US" w:eastAsia="zh-CN" w:bidi="ar-SA"/>
        </w:rPr>
        <w:t>5</w:t>
      </w:r>
      <w:r>
        <w:rPr>
          <w:rFonts w:hint="eastAsia" w:ascii="仿宋_GB2312" w:hAnsi="仿宋_GB2312" w:eastAsia="仿宋_GB2312" w:cs="仿宋_GB2312"/>
          <w:color w:val="auto"/>
          <w:sz w:val="32"/>
          <w:szCs w:val="32"/>
        </w:rPr>
        <w:t>年</w:t>
      </w:r>
      <w:r>
        <w:rPr>
          <w:rFonts w:hint="eastAsia" w:ascii="Times New Roman" w:hAnsi="Times New Roman" w:eastAsia="仿宋_GB2312" w:cs="Times New Roman"/>
          <w:snapToGrid w:val="0"/>
          <w:color w:val="auto"/>
          <w:spacing w:val="0"/>
          <w:sz w:val="32"/>
          <w:szCs w:val="32"/>
          <w:lang w:val="en-US" w:eastAsia="zh-CN" w:bidi="ar-SA"/>
        </w:rPr>
        <w:t>12</w:t>
      </w:r>
      <w:r>
        <w:rPr>
          <w:rFonts w:hint="eastAsia" w:ascii="仿宋_GB2312" w:hAnsi="仿宋_GB2312" w:eastAsia="仿宋_GB2312" w:cs="仿宋_GB2312"/>
          <w:color w:val="auto"/>
          <w:sz w:val="32"/>
          <w:szCs w:val="32"/>
        </w:rPr>
        <w:t>月</w:t>
      </w:r>
      <w:r>
        <w:rPr>
          <w:rFonts w:hint="eastAsia" w:ascii="Times New Roman" w:hAnsi="Times New Roman" w:eastAsia="仿宋_GB2312" w:cs="Times New Roman"/>
          <w:snapToGrid w:val="0"/>
          <w:color w:val="auto"/>
          <w:spacing w:val="0"/>
          <w:sz w:val="32"/>
          <w:szCs w:val="32"/>
          <w:lang w:val="en-US" w:eastAsia="zh-CN" w:bidi="ar-SA"/>
        </w:rPr>
        <w:t>25</w:t>
      </w:r>
      <w:r>
        <w:rPr>
          <w:rFonts w:hint="eastAsia" w:ascii="仿宋_GB2312" w:hAnsi="仿宋_GB2312" w:eastAsia="仿宋_GB2312" w:cs="仿宋_GB2312"/>
          <w:color w:val="auto"/>
          <w:sz w:val="32"/>
          <w:szCs w:val="32"/>
        </w:rPr>
        <w:t>日</w:t>
      </w:r>
    </w:p>
    <w:p w14:paraId="5E38AF16">
      <w:pPr>
        <w:pStyle w:val="6"/>
        <w:ind w:left="0" w:leftChars="0" w:firstLine="0" w:firstLineChars="0"/>
        <w:rPr>
          <w:rFonts w:ascii="黑体" w:hAnsi="黑体" w:eastAsia="黑体" w:cs="黑体"/>
          <w:color w:val="231F20"/>
          <w:spacing w:val="-31"/>
          <w:w w:val="119"/>
          <w:sz w:val="32"/>
          <w:szCs w:val="32"/>
        </w:rPr>
      </w:pPr>
    </w:p>
    <w:p w14:paraId="029517E1">
      <w:pPr>
        <w:widowControl w:val="0"/>
        <w:kinsoku/>
        <w:topLinePunct/>
        <w:autoSpaceDN/>
        <w:spacing w:line="560" w:lineRule="atLeast"/>
        <w:rPr>
          <w:rFonts w:ascii="黑体" w:hAnsi="黑体" w:eastAsia="黑体" w:cs="黑体"/>
          <w:color w:val="231F20"/>
          <w:spacing w:val="-31"/>
          <w:w w:val="119"/>
          <w:sz w:val="32"/>
          <w:szCs w:val="32"/>
        </w:rPr>
      </w:pPr>
      <w:r>
        <w:rPr>
          <w:rFonts w:ascii="黑体" w:hAnsi="黑体" w:eastAsia="黑体" w:cs="黑体"/>
          <w:color w:val="231F20"/>
          <w:spacing w:val="-31"/>
          <w:w w:val="119"/>
          <w:sz w:val="32"/>
          <w:szCs w:val="32"/>
        </w:rPr>
        <w:t>（市场监督管理部门将依法向社会公开行政处罚决定信息）</w:t>
      </w:r>
    </w:p>
    <w:p w14:paraId="12C8E698">
      <w:pPr>
        <w:widowControl w:val="0"/>
        <w:kinsoku/>
        <w:topLinePunct/>
        <w:autoSpaceDN/>
        <w:spacing w:line="560" w:lineRule="atLeast"/>
      </w:pPr>
      <w:r>
        <w:drawing>
          <wp:inline distT="0" distB="0" distL="0" distR="0">
            <wp:extent cx="5550535" cy="15875"/>
            <wp:effectExtent l="0" t="0" r="0" b="0"/>
            <wp:docPr id="1" name="IM 229"/>
            <wp:cNvGraphicFramePr/>
            <a:graphic xmlns:a="http://schemas.openxmlformats.org/drawingml/2006/main">
              <a:graphicData uri="http://schemas.openxmlformats.org/drawingml/2006/picture">
                <pic:pic xmlns:pic="http://schemas.openxmlformats.org/drawingml/2006/picture">
                  <pic:nvPicPr>
                    <pic:cNvPr id="1" name="IM 229"/>
                    <pic:cNvPicPr/>
                  </pic:nvPicPr>
                  <pic:blipFill>
                    <a:blip r:embed="rId6"/>
                    <a:stretch>
                      <a:fillRect/>
                    </a:stretch>
                  </pic:blipFill>
                  <pic:spPr>
                    <a:xfrm>
                      <a:off x="0" y="0"/>
                      <a:ext cx="5550535" cy="16509"/>
                    </a:xfrm>
                    <a:prstGeom prst="rect">
                      <a:avLst/>
                    </a:prstGeom>
                  </pic:spPr>
                </pic:pic>
              </a:graphicData>
            </a:graphic>
          </wp:inline>
        </w:drawing>
      </w:r>
    </w:p>
    <w:p w14:paraId="0E207D70">
      <w:pPr>
        <w:widowControl w:val="0"/>
        <w:kinsoku/>
        <w:topLinePunct/>
        <w:autoSpaceDN/>
        <w:spacing w:line="560" w:lineRule="atLeast"/>
        <w:rPr>
          <w:rFonts w:hint="default"/>
          <w:lang w:val="en-US" w:eastAsia="zh-CN"/>
        </w:rPr>
      </w:pPr>
      <w:r>
        <w:rPr>
          <w:rFonts w:ascii="仿宋" w:hAnsi="仿宋" w:eastAsia="仿宋" w:cs="仿宋"/>
          <w:spacing w:val="-10"/>
          <w:sz w:val="32"/>
          <w:szCs w:val="32"/>
        </w:rPr>
        <w:t>本文书一式</w:t>
      </w:r>
      <w:r>
        <w:rPr>
          <w:rFonts w:ascii="仿宋" w:hAnsi="仿宋" w:eastAsia="仿宋" w:cs="仿宋"/>
          <w:spacing w:val="6"/>
          <w:sz w:val="32"/>
          <w:szCs w:val="32"/>
          <w:u w:val="single"/>
        </w:rPr>
        <w:t xml:space="preserve"> </w:t>
      </w:r>
      <w:r>
        <w:rPr>
          <w:rFonts w:hint="eastAsia" w:ascii="仿宋" w:hAnsi="仿宋" w:eastAsia="仿宋" w:cs="仿宋"/>
          <w:spacing w:val="6"/>
          <w:sz w:val="32"/>
          <w:szCs w:val="32"/>
          <w:u w:val="single"/>
        </w:rPr>
        <w:t>二</w:t>
      </w:r>
      <w:r>
        <w:rPr>
          <w:rFonts w:ascii="仿宋" w:hAnsi="仿宋" w:eastAsia="仿宋" w:cs="仿宋"/>
          <w:spacing w:val="6"/>
          <w:sz w:val="32"/>
          <w:szCs w:val="32"/>
          <w:u w:val="single"/>
        </w:rPr>
        <w:t xml:space="preserve"> </w:t>
      </w:r>
      <w:r>
        <w:rPr>
          <w:rFonts w:ascii="仿宋" w:hAnsi="仿宋" w:eastAsia="仿宋" w:cs="仿宋"/>
          <w:spacing w:val="-10"/>
          <w:sz w:val="32"/>
          <w:szCs w:val="32"/>
        </w:rPr>
        <w:t>份，</w:t>
      </w:r>
      <w:r>
        <w:rPr>
          <w:rFonts w:ascii="仿宋" w:hAnsi="仿宋" w:eastAsia="仿宋" w:cs="仿宋"/>
          <w:spacing w:val="20"/>
          <w:sz w:val="32"/>
          <w:szCs w:val="32"/>
          <w:u w:val="single"/>
        </w:rPr>
        <w:t xml:space="preserve"> </w:t>
      </w:r>
      <w:r>
        <w:rPr>
          <w:rFonts w:hint="eastAsia" w:ascii="仿宋" w:hAnsi="仿宋" w:eastAsia="仿宋" w:cs="仿宋"/>
          <w:spacing w:val="20"/>
          <w:sz w:val="32"/>
          <w:szCs w:val="32"/>
          <w:u w:val="single"/>
        </w:rPr>
        <w:t>一</w:t>
      </w:r>
      <w:r>
        <w:rPr>
          <w:rFonts w:ascii="仿宋" w:hAnsi="仿宋" w:eastAsia="仿宋" w:cs="仿宋"/>
          <w:spacing w:val="20"/>
          <w:sz w:val="32"/>
          <w:szCs w:val="32"/>
          <w:u w:val="single"/>
        </w:rPr>
        <w:t xml:space="preserve"> </w:t>
      </w:r>
      <w:r>
        <w:rPr>
          <w:rFonts w:ascii="仿宋" w:hAnsi="仿宋" w:eastAsia="仿宋" w:cs="仿宋"/>
          <w:spacing w:val="-10"/>
          <w:sz w:val="32"/>
          <w:szCs w:val="32"/>
        </w:rPr>
        <w:t>份送达，一份归档，</w:t>
      </w:r>
      <w:r>
        <w:rPr>
          <w:rFonts w:ascii="仿宋" w:hAnsi="仿宋" w:eastAsia="仿宋" w:cs="仿宋"/>
          <w:spacing w:val="3"/>
          <w:sz w:val="32"/>
          <w:szCs w:val="32"/>
          <w:u w:val="single"/>
        </w:rPr>
        <w:t xml:space="preserve">      </w:t>
      </w:r>
      <w:r>
        <w:rPr>
          <w:rFonts w:hint="eastAsia" w:ascii="仿宋" w:hAnsi="仿宋" w:eastAsia="仿宋" w:cs="仿宋"/>
          <w:spacing w:val="3"/>
          <w:sz w:val="32"/>
          <w:szCs w:val="32"/>
          <w:u w:val="single"/>
        </w:rPr>
        <w:t>/</w:t>
      </w:r>
      <w:r>
        <w:rPr>
          <w:rFonts w:ascii="仿宋" w:hAnsi="仿宋" w:eastAsia="仿宋" w:cs="仿宋"/>
          <w:spacing w:val="3"/>
          <w:sz w:val="32"/>
          <w:szCs w:val="32"/>
          <w:u w:val="single"/>
        </w:rPr>
        <w:t xml:space="preserve">     </w:t>
      </w:r>
      <w:r>
        <w:rPr>
          <w:rFonts w:ascii="仿宋" w:hAnsi="仿宋" w:eastAsia="仿宋" w:cs="仿宋"/>
          <w:spacing w:val="-10"/>
          <w:sz w:val="32"/>
          <w:szCs w:val="32"/>
        </w:rPr>
        <w:t>。</w:t>
      </w:r>
      <w:r>
        <w:rPr>
          <w:rFonts w:ascii="仿宋" w:hAnsi="仿宋" w:eastAsia="仿宋" w:cs="仿宋"/>
          <w:spacing w:val="3"/>
          <w:sz w:val="32"/>
          <w:szCs w:val="32"/>
          <w:u w:val="single"/>
        </w:rPr>
        <w:t xml:space="preserve"> </w:t>
      </w:r>
    </w:p>
    <w:sectPr>
      <w:headerReference r:id="rId3" w:type="default"/>
      <w:footerReference r:id="rId4"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18D30">
    <w:pPr>
      <w:spacing w:line="196" w:lineRule="exact"/>
      <w:rPr>
        <w:rFonts w:ascii="宋体" w:hAnsi="宋体" w:eastAsia="宋体" w:cs="宋体"/>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BCD22">
    <w:pPr>
      <w:spacing w:line="14" w:lineRule="auto"/>
      <w:rPr>
        <w:rFonts w:ascii="Malgun Gothic"/>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F471A"/>
    <w:rsid w:val="076B67D6"/>
    <w:rsid w:val="08F614E8"/>
    <w:rsid w:val="09582461"/>
    <w:rsid w:val="0B551D9D"/>
    <w:rsid w:val="1056219B"/>
    <w:rsid w:val="13ED0F97"/>
    <w:rsid w:val="142E514E"/>
    <w:rsid w:val="153E45AB"/>
    <w:rsid w:val="166201FD"/>
    <w:rsid w:val="19D52B9B"/>
    <w:rsid w:val="1AEB2ADF"/>
    <w:rsid w:val="1CF47668"/>
    <w:rsid w:val="1EA66C83"/>
    <w:rsid w:val="1ED81A83"/>
    <w:rsid w:val="22294B96"/>
    <w:rsid w:val="237E4D47"/>
    <w:rsid w:val="288A4DE1"/>
    <w:rsid w:val="2A6D3510"/>
    <w:rsid w:val="2A7179E8"/>
    <w:rsid w:val="2AC62C21"/>
    <w:rsid w:val="2E643BB9"/>
    <w:rsid w:val="2F797793"/>
    <w:rsid w:val="30FE5432"/>
    <w:rsid w:val="318D6AB3"/>
    <w:rsid w:val="32192170"/>
    <w:rsid w:val="3252037F"/>
    <w:rsid w:val="32C72628"/>
    <w:rsid w:val="32E53BD2"/>
    <w:rsid w:val="3443027D"/>
    <w:rsid w:val="362A5E2D"/>
    <w:rsid w:val="36CC25B2"/>
    <w:rsid w:val="39AE31FE"/>
    <w:rsid w:val="3CFB245A"/>
    <w:rsid w:val="3E936234"/>
    <w:rsid w:val="40BC0654"/>
    <w:rsid w:val="42866E67"/>
    <w:rsid w:val="4395681C"/>
    <w:rsid w:val="482B5142"/>
    <w:rsid w:val="48D943A7"/>
    <w:rsid w:val="490211BE"/>
    <w:rsid w:val="4B7C21B7"/>
    <w:rsid w:val="4C966343"/>
    <w:rsid w:val="4D086840"/>
    <w:rsid w:val="53175C5B"/>
    <w:rsid w:val="53CC09F8"/>
    <w:rsid w:val="53D30E67"/>
    <w:rsid w:val="566A06DD"/>
    <w:rsid w:val="56CC5767"/>
    <w:rsid w:val="586F25BB"/>
    <w:rsid w:val="5B3325DF"/>
    <w:rsid w:val="5D305090"/>
    <w:rsid w:val="5D931302"/>
    <w:rsid w:val="5E2D7CA3"/>
    <w:rsid w:val="62C10AF0"/>
    <w:rsid w:val="63BF1688"/>
    <w:rsid w:val="67275899"/>
    <w:rsid w:val="697274F4"/>
    <w:rsid w:val="74026E16"/>
    <w:rsid w:val="74830290"/>
    <w:rsid w:val="74B768C3"/>
    <w:rsid w:val="75BF0CCB"/>
    <w:rsid w:val="79E671D1"/>
    <w:rsid w:val="7B2A74CC"/>
    <w:rsid w:val="7BC167E5"/>
    <w:rsid w:val="7ED60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_Style 5"/>
    <w:basedOn w:val="1"/>
    <w:qFormat/>
    <w:uiPriority w:val="0"/>
    <w:pPr>
      <w:ind w:firstLine="200" w:firstLineChars="200"/>
      <w:textAlignment w:val="baseline"/>
    </w:pPr>
    <w:rPr>
      <w:snapToGrid w:val="0"/>
      <w:sz w:val="24"/>
      <w:szCs w:val="22"/>
    </w:rPr>
  </w:style>
  <w:style w:type="paragraph" w:customStyle="1" w:styleId="7">
    <w:name w:val="正文+1"/>
    <w:basedOn w:val="1"/>
    <w:qFormat/>
    <w:uiPriority w:val="0"/>
    <w:pPr>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4118</Words>
  <Characters>4471</Characters>
  <Lines>0</Lines>
  <Paragraphs>0</Paragraphs>
  <TotalTime>8</TotalTime>
  <ScaleCrop>false</ScaleCrop>
  <LinksUpToDate>false</LinksUpToDate>
  <CharactersWithSpaces>4687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2024-11-27T02:06:00Z</dcterms:created>
  <dc:creator>Administrator</dc:creator>
  <cp:lastModifiedBy>十四师政务网</cp:lastModifiedBy>
  <cp:lastPrinted>2025-11-14T11:29:00Z</cp:lastPrinted>
  <dcterms:modified xsi:type="dcterms:W3CDTF">2025-12-25T09:06:24Z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A1BE501B4BF94C8ABE60444568CB9286_13</vt:lpwstr>
  </property>
  <property fmtid="{D5CDD505-2E9C-101B-9397-08002B2CF9AE}" pid="4" name="KSOTemplateDocerSaveRecord">
    <vt:lpwstr>eyJoZGlkIjoiNjNkMTQ3MDZjZDQwOGM4ZTVjY2I5OTgzNjVmYmVlZmQiLCJ1c2VySWQiOiIxNjU2NTU0MjE4In0=</vt:lpwstr>
  </property>
</Properties>
</file>