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9A560D">
      <w:pPr>
        <w:widowControl/>
        <w:pBdr>
          <w:top w:val="none" w:color="auto" w:sz="0" w:space="1"/>
          <w:left w:val="none" w:color="auto" w:sz="0" w:space="4"/>
          <w:bottom w:val="none" w:color="auto" w:sz="0" w:space="1"/>
          <w:right w:val="none" w:color="auto" w:sz="0" w:space="4"/>
        </w:pBdr>
        <w:spacing w:line="560" w:lineRule="exact"/>
        <w:rPr>
          <w:rFonts w:hint="eastAsia" w:ascii="仿宋_GB2312" w:hAnsi="仿宋" w:eastAsia="仿宋_GB2312"/>
          <w:color w:val="auto"/>
          <w:sz w:val="32"/>
          <w:szCs w:val="32"/>
        </w:rPr>
      </w:pPr>
      <w:r>
        <w:rPr>
          <w:rFonts w:hint="eastAsia" w:ascii="仿宋_GB2312" w:hAnsi="仿宋" w:eastAsia="仿宋_GB2312"/>
          <w:color w:val="auto"/>
          <w:sz w:val="32"/>
          <w:szCs w:val="32"/>
        </w:rPr>
        <w:t>附件一：</w:t>
      </w:r>
      <w:bookmarkStart w:id="0" w:name="OLE_LINK72"/>
      <w:bookmarkStart w:id="1" w:name="OLE_LINK71"/>
      <w:r>
        <w:rPr>
          <w:rFonts w:hint="eastAsia" w:ascii="仿宋_GB2312" w:hAnsi="仿宋" w:eastAsia="仿宋_GB2312"/>
          <w:color w:val="auto"/>
          <w:sz w:val="32"/>
          <w:szCs w:val="32"/>
        </w:rPr>
        <w:t>行政处罚信息公示文书格式</w:t>
      </w:r>
      <w:bookmarkEnd w:id="0"/>
      <w:bookmarkEnd w:id="1"/>
    </w:p>
    <w:p w14:paraId="5579E776">
      <w:pPr>
        <w:widowControl/>
        <w:pBdr>
          <w:top w:val="none" w:color="auto" w:sz="0" w:space="1"/>
          <w:left w:val="none" w:color="auto" w:sz="0" w:space="4"/>
          <w:bottom w:val="none" w:color="auto" w:sz="0" w:space="1"/>
          <w:right w:val="none" w:color="auto" w:sz="0" w:space="4"/>
        </w:pBdr>
        <w:spacing w:line="560" w:lineRule="exact"/>
        <w:jc w:val="center"/>
        <w:rPr>
          <w:rFonts w:hint="eastAsia" w:ascii="方正小标宋简体" w:hAnsi="黑体" w:eastAsia="方正小标宋简体"/>
          <w:color w:val="auto"/>
          <w:sz w:val="32"/>
          <w:szCs w:val="32"/>
        </w:rPr>
      </w:pPr>
      <w:bookmarkStart w:id="2" w:name="OLE_LINK73"/>
      <w:r>
        <w:rPr>
          <w:rFonts w:hint="eastAsia" w:ascii="新宋体" w:hAnsi="新宋体" w:eastAsia="新宋体"/>
          <w:color w:val="auto"/>
          <w:sz w:val="32"/>
          <w:szCs w:val="32"/>
        </w:rPr>
        <w:t>行政处罚信息摘要</w:t>
      </w:r>
      <w:bookmarkEnd w:id="2"/>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980"/>
        <w:gridCol w:w="4634"/>
      </w:tblGrid>
      <w:tr w14:paraId="40CB6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3888" w:type="dxa"/>
            <w:gridSpan w:val="3"/>
            <w:noWrap w:val="0"/>
            <w:vAlign w:val="top"/>
          </w:tcPr>
          <w:p w14:paraId="5CF7808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行政处罚决定书文号</w:t>
            </w:r>
          </w:p>
        </w:tc>
        <w:tc>
          <w:tcPr>
            <w:tcW w:w="4634" w:type="dxa"/>
            <w:noWrap w:val="0"/>
            <w:vAlign w:val="top"/>
          </w:tcPr>
          <w:p w14:paraId="1C6DA6D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lang w:val="en-US" w:eastAsia="zh-CN"/>
              </w:rPr>
              <w:t xml:space="preserve"> </w:t>
            </w:r>
            <w:bookmarkStart w:id="3" w:name="_GoBack"/>
            <w:r>
              <w:rPr>
                <w:rFonts w:hint="eastAsia" w:ascii="仿宋_GB2312" w:hAnsi="黑体" w:eastAsia="仿宋_GB2312" w:cs="Times New Roman"/>
                <w:color w:val="auto"/>
                <w:sz w:val="24"/>
                <w:lang w:val="en-US" w:eastAsia="zh-CN"/>
              </w:rPr>
              <w:t>十四师市监处罚</w:t>
            </w:r>
            <w:r>
              <w:rPr>
                <w:rFonts w:hint="default" w:ascii="仿宋_GB2312" w:hAnsi="黑体" w:eastAsia="仿宋_GB2312" w:cs="Times New Roman"/>
                <w:color w:val="auto"/>
                <w:sz w:val="24"/>
                <w:lang w:val="en-US" w:eastAsia="zh-CN"/>
              </w:rPr>
              <w:t>〔202</w:t>
            </w:r>
            <w:r>
              <w:rPr>
                <w:rFonts w:hint="eastAsia" w:ascii="仿宋_GB2312" w:hAnsi="黑体" w:eastAsia="仿宋_GB2312" w:cs="Times New Roman"/>
                <w:color w:val="auto"/>
                <w:sz w:val="24"/>
                <w:lang w:val="en-US" w:eastAsia="zh-CN"/>
              </w:rPr>
              <w:t>5</w:t>
            </w:r>
            <w:r>
              <w:rPr>
                <w:rFonts w:hint="default" w:ascii="仿宋_GB2312" w:hAnsi="黑体" w:eastAsia="仿宋_GB2312" w:cs="Times New Roman"/>
                <w:color w:val="auto"/>
                <w:sz w:val="24"/>
                <w:lang w:val="en-US" w:eastAsia="zh-CN"/>
              </w:rPr>
              <w:t>〕</w:t>
            </w:r>
            <w:r>
              <w:rPr>
                <w:rFonts w:hint="eastAsia" w:ascii="仿宋_GB2312" w:hAnsi="黑体" w:eastAsia="仿宋_GB2312" w:cs="Times New Roman"/>
                <w:color w:val="auto"/>
                <w:sz w:val="24"/>
                <w:lang w:val="en-US" w:eastAsia="zh-CN"/>
              </w:rPr>
              <w:t>52</w:t>
            </w:r>
            <w:r>
              <w:rPr>
                <w:rFonts w:hint="default" w:ascii="仿宋_GB2312" w:hAnsi="黑体" w:eastAsia="仿宋_GB2312" w:cs="Times New Roman"/>
                <w:color w:val="auto"/>
                <w:sz w:val="24"/>
                <w:lang w:val="en-US" w:eastAsia="zh-CN"/>
              </w:rPr>
              <w:t>号</w:t>
            </w:r>
            <w:bookmarkEnd w:id="3"/>
          </w:p>
        </w:tc>
      </w:tr>
      <w:tr w14:paraId="1BEED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4" w:type="dxa"/>
            <w:vMerge w:val="restart"/>
            <w:noWrap w:val="0"/>
            <w:vAlign w:val="top"/>
          </w:tcPr>
          <w:p w14:paraId="33853D4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bdr w:val="single" w:color="auto" w:sz="4" w:space="0"/>
              </w:rPr>
            </w:pPr>
          </w:p>
          <w:p w14:paraId="68478A8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行政处罚当事人基本情况</w:t>
            </w:r>
          </w:p>
        </w:tc>
        <w:tc>
          <w:tcPr>
            <w:tcW w:w="954" w:type="dxa"/>
            <w:vMerge w:val="restart"/>
            <w:noWrap w:val="0"/>
            <w:vAlign w:val="center"/>
          </w:tcPr>
          <w:p w14:paraId="0C4CB5E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个人</w:t>
            </w:r>
          </w:p>
        </w:tc>
        <w:tc>
          <w:tcPr>
            <w:tcW w:w="1980" w:type="dxa"/>
            <w:noWrap w:val="0"/>
            <w:vAlign w:val="top"/>
          </w:tcPr>
          <w:p w14:paraId="7C58FD6A">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bdr w:val="single" w:color="auto" w:sz="4" w:space="0"/>
              </w:rPr>
            </w:pPr>
            <w:r>
              <w:rPr>
                <w:rFonts w:hint="eastAsia" w:ascii="仿宋_GB2312" w:hAnsi="黑体" w:eastAsia="仿宋_GB2312"/>
                <w:color w:val="auto"/>
                <w:sz w:val="24"/>
              </w:rPr>
              <w:t>姓名（名称）</w:t>
            </w:r>
          </w:p>
        </w:tc>
        <w:tc>
          <w:tcPr>
            <w:tcW w:w="4634" w:type="dxa"/>
            <w:noWrap w:val="0"/>
            <w:vAlign w:val="top"/>
          </w:tcPr>
          <w:p w14:paraId="2A0ABA3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lang w:val="en-US" w:eastAsia="zh-CN"/>
              </w:rPr>
              <w:t>/</w:t>
            </w:r>
          </w:p>
        </w:tc>
      </w:tr>
      <w:tr w14:paraId="3EA91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556726C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center"/>
          </w:tcPr>
          <w:p w14:paraId="17FD70A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1BB84F3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注册号</w:t>
            </w:r>
          </w:p>
        </w:tc>
        <w:tc>
          <w:tcPr>
            <w:tcW w:w="4634" w:type="dxa"/>
            <w:noWrap w:val="0"/>
            <w:vAlign w:val="top"/>
          </w:tcPr>
          <w:p w14:paraId="2121D8C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lang w:val="en-US" w:eastAsia="zh-CN"/>
              </w:rPr>
              <w:t>/</w:t>
            </w:r>
          </w:p>
        </w:tc>
      </w:tr>
      <w:tr w14:paraId="4F68C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46C630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restart"/>
            <w:noWrap w:val="0"/>
            <w:vAlign w:val="center"/>
          </w:tcPr>
          <w:p w14:paraId="3452CEB6">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单位</w:t>
            </w:r>
          </w:p>
        </w:tc>
        <w:tc>
          <w:tcPr>
            <w:tcW w:w="1980" w:type="dxa"/>
            <w:noWrap w:val="0"/>
            <w:vAlign w:val="top"/>
          </w:tcPr>
          <w:p w14:paraId="79C6E9C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名称</w:t>
            </w:r>
          </w:p>
        </w:tc>
        <w:tc>
          <w:tcPr>
            <w:tcW w:w="4634" w:type="dxa"/>
            <w:noWrap w:val="0"/>
            <w:vAlign w:val="top"/>
          </w:tcPr>
          <w:p w14:paraId="2E08049F">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lang w:val="en-US" w:eastAsia="zh-CN"/>
              </w:rPr>
              <w:t>内蒙古中安工程项目管理有限责任公司昆玉市分公司</w:t>
            </w:r>
          </w:p>
        </w:tc>
      </w:tr>
      <w:tr w14:paraId="739EF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DB1978C">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top"/>
          </w:tcPr>
          <w:p w14:paraId="6EF6A27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02FE65F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注册号</w:t>
            </w:r>
          </w:p>
        </w:tc>
        <w:tc>
          <w:tcPr>
            <w:tcW w:w="4634" w:type="dxa"/>
            <w:noWrap w:val="0"/>
            <w:vAlign w:val="top"/>
          </w:tcPr>
          <w:p w14:paraId="140C756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lang w:val="en-US" w:eastAsia="zh-CN"/>
              </w:rPr>
              <w:t>91659009MA785K674T</w:t>
            </w:r>
          </w:p>
        </w:tc>
      </w:tr>
      <w:tr w14:paraId="0EACA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54" w:type="dxa"/>
            <w:vMerge w:val="continue"/>
            <w:noWrap w:val="0"/>
            <w:vAlign w:val="top"/>
          </w:tcPr>
          <w:p w14:paraId="390D85C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top"/>
          </w:tcPr>
          <w:p w14:paraId="19EC098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4274F55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法定代表人（负责人）姓名</w:t>
            </w:r>
          </w:p>
        </w:tc>
        <w:tc>
          <w:tcPr>
            <w:tcW w:w="4634" w:type="dxa"/>
            <w:noWrap w:val="0"/>
            <w:vAlign w:val="center"/>
          </w:tcPr>
          <w:p w14:paraId="52553976">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姚啸龙</w:t>
            </w:r>
          </w:p>
        </w:tc>
      </w:tr>
      <w:tr w14:paraId="01E6D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888" w:type="dxa"/>
            <w:gridSpan w:val="3"/>
            <w:noWrap w:val="0"/>
            <w:vAlign w:val="center"/>
          </w:tcPr>
          <w:p w14:paraId="3CA49790">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违法行为类型</w:t>
            </w:r>
          </w:p>
        </w:tc>
        <w:tc>
          <w:tcPr>
            <w:tcW w:w="4634" w:type="dxa"/>
            <w:noWrap w:val="0"/>
            <w:vAlign w:val="top"/>
          </w:tcPr>
          <w:p w14:paraId="4C6353AC">
            <w:pPr>
              <w:widowControl/>
              <w:pBdr>
                <w:top w:val="none" w:color="auto" w:sz="0" w:space="1"/>
                <w:left w:val="none" w:color="auto" w:sz="0" w:space="4"/>
                <w:bottom w:val="none" w:color="auto" w:sz="0" w:space="1"/>
                <w:right w:val="none" w:color="auto" w:sz="0" w:space="4"/>
              </w:pBdr>
              <w:spacing w:line="400" w:lineRule="exact"/>
              <w:jc w:val="left"/>
              <w:rPr>
                <w:rFonts w:hint="default" w:ascii="仿宋_GB2312" w:hAnsi="黑体" w:eastAsia="仿宋_GB2312"/>
                <w:color w:val="auto"/>
                <w:sz w:val="24"/>
                <w:lang w:val="en-US" w:eastAsia="zh-CN"/>
              </w:rPr>
            </w:pPr>
            <w:r>
              <w:rPr>
                <w:rFonts w:hint="default" w:ascii="仿宋_GB2312" w:hAnsi="黑体" w:eastAsia="仿宋_GB2312"/>
                <w:color w:val="auto"/>
                <w:sz w:val="24"/>
                <w:lang w:val="en-US" w:eastAsia="zh-CN"/>
              </w:rPr>
              <w:t>连续</w:t>
            </w:r>
            <w:r>
              <w:rPr>
                <w:rFonts w:hint="eastAsia" w:ascii="仿宋_GB2312" w:hAnsi="黑体" w:eastAsia="仿宋_GB2312"/>
                <w:color w:val="auto"/>
                <w:sz w:val="24"/>
                <w:lang w:val="en-US" w:eastAsia="zh-CN"/>
              </w:rPr>
              <w:t>2</w:t>
            </w:r>
            <w:r>
              <w:rPr>
                <w:rFonts w:hint="default" w:ascii="仿宋_GB2312" w:hAnsi="黑体" w:eastAsia="仿宋_GB2312"/>
                <w:color w:val="auto"/>
                <w:sz w:val="24"/>
                <w:lang w:val="en-US" w:eastAsia="zh-CN"/>
              </w:rPr>
              <w:t>年未按规定报送年度报告被列入经营异常名录未改正，且通过登记的住所无法取得联系的违法行为</w:t>
            </w:r>
            <w:r>
              <w:rPr>
                <w:rFonts w:hint="eastAsia" w:ascii="仿宋_GB2312" w:hAnsi="黑体"/>
                <w:color w:val="auto"/>
                <w:sz w:val="24"/>
                <w:lang w:val="en-US" w:eastAsia="zh-CN"/>
              </w:rPr>
              <w:t>。</w:t>
            </w:r>
          </w:p>
        </w:tc>
      </w:tr>
      <w:tr w14:paraId="5B79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888" w:type="dxa"/>
            <w:gridSpan w:val="3"/>
            <w:noWrap w:val="0"/>
            <w:vAlign w:val="center"/>
          </w:tcPr>
          <w:p w14:paraId="162C10E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行政处罚内容</w:t>
            </w:r>
          </w:p>
        </w:tc>
        <w:tc>
          <w:tcPr>
            <w:tcW w:w="4634" w:type="dxa"/>
            <w:noWrap w:val="0"/>
            <w:vAlign w:val="center"/>
          </w:tcPr>
          <w:p w14:paraId="1FE4668F">
            <w:pPr>
              <w:keepNext w:val="0"/>
              <w:keepLines w:val="0"/>
              <w:pageBreakBefore w:val="0"/>
              <w:widowControl/>
              <w:kinsoku/>
              <w:wordWrap/>
              <w:overflowPunct/>
              <w:topLinePunct w:val="0"/>
              <w:autoSpaceDE w:val="0"/>
              <w:autoSpaceDN w:val="0"/>
              <w:bidi w:val="0"/>
              <w:adjustRightInd w:val="0"/>
              <w:snapToGrid w:val="0"/>
              <w:spacing w:line="243" w:lineRule="auto"/>
              <w:ind w:right="0" w:rightChars="0"/>
              <w:textAlignment w:val="baseline"/>
              <w:rPr>
                <w:rFonts w:hint="default" w:ascii="仿宋_GB2312" w:hAnsi="黑体" w:eastAsia="仿宋_GB2312"/>
                <w:color w:val="auto"/>
                <w:sz w:val="24"/>
                <w:lang w:val="en-US" w:eastAsia="zh-CN"/>
              </w:rPr>
            </w:pPr>
            <w:r>
              <w:rPr>
                <w:rFonts w:hint="default" w:ascii="仿宋" w:hAnsi="仿宋" w:eastAsia="仿宋" w:cs="仿宋"/>
                <w:spacing w:val="-2"/>
                <w:sz w:val="24"/>
                <w:szCs w:val="24"/>
                <w:highlight w:val="none"/>
                <w:lang w:val="en-US" w:eastAsia="zh-CN"/>
              </w:rPr>
              <w:t>吊销内蒙古中安工程项目管理有限责任公司昆玉市分公司（统一社会信用代码：91659009MA785K674T）的营业执照。</w:t>
            </w:r>
          </w:p>
        </w:tc>
      </w:tr>
      <w:tr w14:paraId="72BB5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3C249FD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作出行政处罚决定机关名称</w:t>
            </w:r>
          </w:p>
        </w:tc>
        <w:tc>
          <w:tcPr>
            <w:tcW w:w="4634" w:type="dxa"/>
            <w:noWrap w:val="0"/>
            <w:vAlign w:val="top"/>
          </w:tcPr>
          <w:p w14:paraId="76E3EB6B">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第十四师市场监督管理局</w:t>
            </w:r>
          </w:p>
        </w:tc>
      </w:tr>
      <w:tr w14:paraId="158A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6C092C0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作出行政处罚决定日期</w:t>
            </w:r>
          </w:p>
        </w:tc>
        <w:tc>
          <w:tcPr>
            <w:tcW w:w="4634" w:type="dxa"/>
            <w:noWrap w:val="0"/>
            <w:vAlign w:val="top"/>
          </w:tcPr>
          <w:p w14:paraId="50173614">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2025年</w:t>
            </w:r>
            <w:r>
              <w:rPr>
                <w:rFonts w:hint="eastAsia" w:ascii="仿宋_GB2312" w:hAnsi="黑体"/>
                <w:color w:val="auto"/>
                <w:sz w:val="24"/>
                <w:lang w:val="en-US" w:eastAsia="zh-CN"/>
              </w:rPr>
              <w:t>12</w:t>
            </w:r>
            <w:r>
              <w:rPr>
                <w:rFonts w:hint="eastAsia" w:ascii="仿宋_GB2312" w:hAnsi="黑体" w:eastAsia="仿宋_GB2312"/>
                <w:color w:val="auto"/>
                <w:sz w:val="24"/>
                <w:lang w:val="en-US" w:eastAsia="zh-CN"/>
              </w:rPr>
              <w:t>月19日</w:t>
            </w:r>
          </w:p>
        </w:tc>
      </w:tr>
    </w:tbl>
    <w:p w14:paraId="4B35FB85">
      <w:pPr>
        <w:keepNext w:val="0"/>
        <w:keepLines w:val="0"/>
        <w:pageBreakBefore w:val="0"/>
        <w:tabs>
          <w:tab w:val="left" w:pos="3518"/>
        </w:tabs>
        <w:kinsoku/>
        <w:bidi w:val="0"/>
        <w:snapToGrid w:val="0"/>
        <w:spacing w:line="560" w:lineRule="exact"/>
        <w:ind w:firstLine="1746"/>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第十四师市场监督管理局</w:t>
      </w:r>
    </w:p>
    <w:p w14:paraId="5AF67F09">
      <w:pPr>
        <w:keepNext w:val="0"/>
        <w:keepLines w:val="0"/>
        <w:pageBreakBefore w:val="0"/>
        <w:kinsoku/>
        <w:bidi w:val="0"/>
        <w:snapToGrid w:val="0"/>
        <w:spacing w:line="560" w:lineRule="exact"/>
        <w:ind w:firstLine="2637"/>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行政处罚决定书</w:t>
      </w:r>
    </w:p>
    <w:p w14:paraId="7197E6D5">
      <w:pPr>
        <w:keepNext w:val="0"/>
        <w:keepLines w:val="0"/>
        <w:pageBreakBefore w:val="0"/>
        <w:tabs>
          <w:tab w:val="left" w:pos="2725"/>
        </w:tabs>
        <w:kinsoku/>
        <w:bidi w:val="0"/>
        <w:snapToGrid w:val="0"/>
        <w:spacing w:line="560" w:lineRule="exact"/>
        <w:jc w:val="center"/>
        <w:rPr>
          <w:rFonts w:ascii="仿宋_GB2312" w:hAnsi="仿宋_GB2312" w:eastAsia="仿宋_GB2312" w:cs="仿宋_GB2312"/>
          <w:sz w:val="32"/>
          <w:szCs w:val="32"/>
          <w:highlight w:val="none"/>
          <w:u w:val="none"/>
        </w:rPr>
      </w:pPr>
      <w:r>
        <w:rPr>
          <w:rFonts w:hint="eastAsia" w:ascii="仿宋_GB2312" w:hAnsi="仿宋_GB2312" w:eastAsia="仿宋_GB2312" w:cs="仿宋_GB2312"/>
          <w:spacing w:val="-7"/>
          <w:sz w:val="32"/>
          <w:szCs w:val="32"/>
          <w:highlight w:val="none"/>
          <w:u w:val="none"/>
        </w:rPr>
        <w:t>十四师市监处罚</w:t>
      </w:r>
      <w:r>
        <w:rPr>
          <w:rFonts w:hint="default" w:ascii="Times New Roman" w:hAnsi="Times New Roman" w:eastAsia="仿宋_GB2312" w:cs="Times New Roman"/>
          <w:spacing w:val="-7"/>
          <w:sz w:val="32"/>
          <w:szCs w:val="32"/>
          <w:highlight w:val="none"/>
        </w:rPr>
        <w:t>〔</w:t>
      </w:r>
      <w:r>
        <w:rPr>
          <w:rFonts w:hint="default" w:ascii="Times New Roman" w:hAnsi="Times New Roman" w:eastAsia="仿宋_GB2312" w:cs="Times New Roman"/>
          <w:spacing w:val="18"/>
          <w:sz w:val="32"/>
          <w:szCs w:val="32"/>
          <w:highlight w:val="none"/>
          <w:u w:val="single" w:color="auto"/>
          <w:lang w:val="en-US" w:eastAsia="zh-CN"/>
        </w:rPr>
        <w:t>202</w:t>
      </w:r>
      <w:r>
        <w:rPr>
          <w:rFonts w:hint="eastAsia" w:ascii="Times New Roman" w:hAnsi="Times New Roman" w:eastAsia="仿宋_GB2312" w:cs="Times New Roman"/>
          <w:spacing w:val="18"/>
          <w:sz w:val="32"/>
          <w:szCs w:val="32"/>
          <w:highlight w:val="none"/>
          <w:u w:val="single" w:color="auto"/>
          <w:lang w:val="en-US" w:eastAsia="zh-CN"/>
        </w:rPr>
        <w:t>5</w:t>
      </w:r>
      <w:r>
        <w:rPr>
          <w:rFonts w:hint="default" w:ascii="Times New Roman" w:hAnsi="Times New Roman" w:eastAsia="仿宋_GB2312" w:cs="Times New Roman"/>
          <w:spacing w:val="-7"/>
          <w:sz w:val="32"/>
          <w:szCs w:val="32"/>
          <w:highlight w:val="none"/>
        </w:rPr>
        <w:t>〕</w:t>
      </w:r>
      <w:r>
        <w:rPr>
          <w:rFonts w:hint="eastAsia" w:ascii="Times New Roman" w:hAnsi="Times New Roman" w:eastAsia="仿宋_GB2312" w:cs="Times New Roman"/>
          <w:spacing w:val="-7"/>
          <w:sz w:val="32"/>
          <w:szCs w:val="32"/>
          <w:highlight w:val="none"/>
          <w:u w:val="single"/>
          <w:lang w:val="en-US" w:eastAsia="zh-CN"/>
        </w:rPr>
        <w:t>52</w:t>
      </w:r>
      <w:r>
        <w:rPr>
          <w:rFonts w:hint="default" w:ascii="Times New Roman" w:hAnsi="Times New Roman" w:eastAsia="仿宋_GB2312" w:cs="Times New Roman"/>
          <w:spacing w:val="-7"/>
          <w:sz w:val="32"/>
          <w:szCs w:val="32"/>
          <w:highlight w:val="none"/>
          <w:lang w:val="en-US" w:eastAsia="zh-CN"/>
        </w:rPr>
        <w:t>号</w:t>
      </w:r>
    </w:p>
    <w:p w14:paraId="22790359">
      <w:pPr>
        <w:keepNext w:val="0"/>
        <w:keepLines w:val="0"/>
        <w:pageBreakBefore w:val="0"/>
        <w:kinsoku/>
        <w:bidi w:val="0"/>
        <w:snapToGrid w:val="0"/>
        <w:spacing w:line="560" w:lineRule="exact"/>
        <w:rPr>
          <w:rFonts w:ascii="仿宋_GB2312" w:hAnsi="仿宋_GB2312" w:eastAsia="仿宋_GB2312" w:cs="仿宋_GB2312"/>
          <w:spacing w:val="-7"/>
          <w:sz w:val="32"/>
          <w:szCs w:val="32"/>
          <w:highlight w:val="none"/>
        </w:rPr>
      </w:pPr>
    </w:p>
    <w:p w14:paraId="6602D0CC">
      <w:pPr>
        <w:keepNext w:val="0"/>
        <w:keepLines w:val="0"/>
        <w:pageBreakBefore w:val="0"/>
        <w:kinsoku/>
        <w:bidi w:val="0"/>
        <w:snapToGrid w:val="0"/>
        <w:spacing w:line="560" w:lineRule="exact"/>
        <w:rPr>
          <w:rFonts w:hint="default" w:ascii="仿宋_GB2312" w:hAnsi="仿宋_GB2312" w:eastAsia="仿宋_GB2312" w:cs="仿宋_GB2312"/>
          <w:sz w:val="32"/>
          <w:szCs w:val="32"/>
          <w:highlight w:val="none"/>
          <w:u w:val="single"/>
          <w:lang w:val="en-US"/>
        </w:rPr>
      </w:pPr>
      <w:r>
        <w:rPr>
          <w:rFonts w:hint="eastAsia" w:ascii="仿宋_GB2312" w:hAnsi="仿宋_GB2312" w:eastAsia="仿宋_GB2312" w:cs="仿宋_GB2312"/>
          <w:spacing w:val="-7"/>
          <w:sz w:val="32"/>
          <w:szCs w:val="32"/>
          <w:highlight w:val="none"/>
        </w:rPr>
        <w:t>当事人：</w:t>
      </w:r>
      <w:r>
        <w:rPr>
          <w:rFonts w:hint="eastAsia" w:ascii="仿宋_GB2312" w:hAnsi="仿宋_GB2312" w:eastAsia="仿宋_GB2312" w:cs="仿宋_GB2312"/>
          <w:spacing w:val="1"/>
          <w:sz w:val="32"/>
          <w:szCs w:val="32"/>
          <w:highlight w:val="none"/>
          <w:u w:val="single"/>
          <w:lang w:val="en-US" w:eastAsia="zh-CN"/>
        </w:rPr>
        <w:t>内蒙古中安工程项目管理有限责任公司昆玉市分公司</w:t>
      </w:r>
      <w:r>
        <w:rPr>
          <w:rFonts w:hint="eastAsia" w:ascii="仿宋" w:hAnsi="仿宋" w:eastAsia="仿宋" w:cs="仿宋"/>
          <w:spacing w:val="-4"/>
          <w:sz w:val="32"/>
          <w:szCs w:val="32"/>
          <w:highlight w:val="none"/>
          <w:u w:val="single"/>
          <w:lang w:val="en-US" w:eastAsia="zh-CN"/>
        </w:rPr>
        <w:t xml:space="preserve">                      </w:t>
      </w:r>
    </w:p>
    <w:p w14:paraId="65310A22">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主体资格证照名称：</w:t>
      </w:r>
      <w:r>
        <w:rPr>
          <w:rFonts w:hint="eastAsia" w:ascii="仿宋_GB2312" w:hAnsi="仿宋_GB2312" w:eastAsia="仿宋_GB2312" w:cs="仿宋_GB2312"/>
          <w:spacing w:val="1"/>
          <w:sz w:val="32"/>
          <w:szCs w:val="32"/>
          <w:highlight w:val="none"/>
          <w:u w:val="single"/>
        </w:rPr>
        <w:t>营业执照</w:t>
      </w:r>
      <w:r>
        <w:rPr>
          <w:rFonts w:hint="eastAsia" w:ascii="仿宋_GB2312" w:hAnsi="仿宋_GB2312" w:eastAsia="仿宋_GB2312" w:cs="仿宋_GB2312"/>
          <w:spacing w:val="1"/>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54D40FDF">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统一社会信用代码：</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91659009MA785K674T</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3F8C3F7B">
      <w:pPr>
        <w:keepNext w:val="0"/>
        <w:keepLines w:val="0"/>
        <w:pageBreakBefore w:val="0"/>
        <w:kinsoku/>
        <w:bidi w:val="0"/>
        <w:snapToGrid w:val="0"/>
        <w:spacing w:line="560" w:lineRule="exact"/>
        <w:rPr>
          <w:rFonts w:hint="default" w:ascii="仿宋_GB2312" w:hAnsi="仿宋_GB2312" w:eastAsia="仿宋_GB2312" w:cs="仿宋_GB2312"/>
          <w:spacing w:val="1"/>
          <w:sz w:val="32"/>
          <w:szCs w:val="32"/>
          <w:highlight w:val="none"/>
          <w:u w:val="single"/>
          <w:lang w:val="en-US"/>
        </w:rPr>
      </w:pPr>
      <w:r>
        <w:rPr>
          <w:rFonts w:hint="eastAsia" w:ascii="仿宋_GB2312" w:hAnsi="仿宋_GB2312" w:eastAsia="仿宋_GB2312" w:cs="仿宋_GB2312"/>
          <w:spacing w:val="-7"/>
          <w:sz w:val="32"/>
          <w:szCs w:val="32"/>
          <w:highlight w:val="none"/>
        </w:rPr>
        <w:t>住所：</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新疆昆玉市天山街16号</w:t>
      </w:r>
      <w:r>
        <w:rPr>
          <w:rFonts w:hint="eastAsia" w:ascii="仿宋_GB2312" w:hAnsi="仿宋_GB2312" w:eastAsia="仿宋_GB2312" w:cs="仿宋_GB2312"/>
          <w:color w:val="auto"/>
          <w:spacing w:val="-6"/>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single"/>
          <w:lang w:val="en-US" w:eastAsia="zh-CN"/>
        </w:rPr>
        <w:t xml:space="preserve">             </w:t>
      </w:r>
    </w:p>
    <w:p w14:paraId="7799A69F">
      <w:pPr>
        <w:keepNext w:val="0"/>
        <w:keepLines w:val="0"/>
        <w:pageBreakBefore w:val="0"/>
        <w:kinsoku/>
        <w:bidi w:val="0"/>
        <w:snapToGrid w:val="0"/>
        <w:spacing w:line="560" w:lineRule="exact"/>
        <w:rPr>
          <w:rFonts w:hint="eastAsia" w:ascii="仿宋_GB2312" w:hAnsi="仿宋_GB2312" w:eastAsia="仿宋_GB2312" w:cs="仿宋_GB2312"/>
          <w:color w:val="auto"/>
          <w:sz w:val="32"/>
          <w:szCs w:val="32"/>
          <w:highlight w:val="none"/>
          <w:u w:val="single"/>
          <w:lang w:val="en-US" w:eastAsia="zh-CN"/>
        </w:rPr>
      </w:pPr>
      <w:r>
        <w:rPr>
          <w:rFonts w:hint="eastAsia" w:ascii="仿宋_GB2312" w:hAnsi="仿宋_GB2312" w:eastAsia="仿宋_GB2312" w:cs="仿宋_GB2312"/>
          <w:spacing w:val="-7"/>
          <w:sz w:val="32"/>
          <w:szCs w:val="32"/>
          <w:highlight w:val="none"/>
        </w:rPr>
        <w:t>负责人：</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姚啸龙</w:t>
      </w:r>
      <w:r>
        <w:rPr>
          <w:rFonts w:hint="eastAsia" w:ascii="仿宋_GB2312" w:hAnsi="仿宋_GB2312" w:eastAsia="仿宋_GB2312" w:cs="仿宋_GB2312"/>
          <w:spacing w:val="-7"/>
          <w:sz w:val="32"/>
          <w:szCs w:val="32"/>
          <w:highlight w:val="none"/>
          <w:u w:val="single"/>
          <w:lang w:val="en-US" w:eastAsia="zh-CN"/>
        </w:rPr>
        <w:t xml:space="preserve">       </w:t>
      </w:r>
      <w:r>
        <w:rPr>
          <w:rFonts w:hint="eastAsia" w:ascii="仿宋" w:hAnsi="仿宋" w:eastAsia="仿宋" w:cs="仿宋"/>
          <w:spacing w:val="-4"/>
          <w:sz w:val="32"/>
          <w:szCs w:val="32"/>
          <w:highlight w:val="none"/>
          <w:u w:val="single"/>
          <w:lang w:val="en-US" w:eastAsia="zh-CN"/>
        </w:rPr>
        <w:t xml:space="preserve">                                 </w:t>
      </w:r>
      <w:r>
        <w:rPr>
          <w:rFonts w:hint="eastAsia" w:ascii="仿宋_GB2312" w:hAnsi="仿宋_GB2312" w:eastAsia="仿宋_GB2312" w:cs="仿宋_GB2312"/>
          <w:spacing w:val="21"/>
          <w:sz w:val="32"/>
          <w:szCs w:val="32"/>
          <w:highlight w:val="none"/>
        </w:rPr>
        <w:t xml:space="preserve"> </w:t>
      </w:r>
    </w:p>
    <w:p w14:paraId="71CE1706">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当事人因未报送2023年度、2024年度年度报告并公示，被我局列入经营异常名录。2025年7月25日和2025年8月9日，我局执法人员向当事人登记住所邮寄专用信函2封，均因无人签收，无法联系到当事人被退回。2025年9月15日，经国家税务总局昆玉税务局协查，当事人税务登记状态为2023年4月1日，认定为非正常。2025年7月25日，我局执法人员经实地走访，发现当事人注册营业场所“新疆昆玉市天山街16号”不存在，也未发现当事人开展经营活动，我局执法人员现场拨打当事人注册登记的联系电话，无法联系到当事人。</w:t>
      </w:r>
    </w:p>
    <w:p w14:paraId="0A693149">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为进一步查明事实，我局于2025年9月18日立案调查。</w:t>
      </w:r>
    </w:p>
    <w:p w14:paraId="48B6419B">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7月10日、2025年7月25日，我局执法人员依法开展现场走访，分别由224团玉龙社区工作人员作为见证人签字盖章确认，并制作现场笔录两份。调查过程中，依法提取了当事人年报信息、企业信用信息公示报告等证据材料，调查全过程使用执法记录仪记录。</w:t>
      </w:r>
    </w:p>
    <w:p w14:paraId="37FF0966">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经查询国家企业信用信息公示系统，当事人于2018年11月28日注册成立，统一社会信用代码：91659009MA785K674T，经营状态：存续，登记住所：新疆昆玉市天山街16号，负责人:姚啸龙。</w:t>
      </w:r>
    </w:p>
    <w:p w14:paraId="3FC25548">
      <w:pPr>
        <w:keepNext w:val="0"/>
        <w:keepLines w:val="0"/>
        <w:pageBreakBefore w:val="0"/>
        <w:widowControl w:val="0"/>
        <w:kinsoku/>
        <w:wordWrap/>
        <w:overflowPunct/>
        <w:topLinePunct w:val="0"/>
        <w:autoSpaceDE w:val="0"/>
        <w:autoSpaceDN w:val="0"/>
        <w:bidi w:val="0"/>
        <w:adjustRightInd w:val="0"/>
        <w:snapToGrid w:val="0"/>
        <w:spacing w:line="560" w:lineRule="exact"/>
        <w:ind w:firstLine="626" w:firstLineChars="200"/>
        <w:textAlignment w:val="baseline"/>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2024年当事人未按照《企业信息公示暂行条例》第八条第一款规定的期限报送并公示2023年年度报告。2025年当事人未按照《企业信息公示暂行条例》第八条第一款规定的期限报送并公示2024年年度报告。</w:t>
      </w:r>
    </w:p>
    <w:p w14:paraId="5E9847CB">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经营异常名录信息，2024年7月1日，当事人因未按照《企业信息公示暂行条例》第八条第一款规定的期限报送并公示2023年年度报告，被我局列入经营异常名录。经查询国家企业信用信息公示系统经营异常名录信息，2025年7月1日，当事人因未按照《企业信息公示暂行条例》第八条第一款规定的期限报送并公示2024年年度报告，被我局列入经营异常名录。</w:t>
      </w:r>
    </w:p>
    <w:p w14:paraId="59B9A29C">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7月29日、2025年8月9日，我局执法人员依据《企业经营异常名录管理暂行办法》（国家工商行政管理总局令第68号）第九条的规定，向当事人登记住所邮寄专用信函2封，邮件编号分别为XA20428994665、XA20428978765，均因无人签收，被新疆墨玉皮墨垦区（营业）邮政退回，视为通过登记住所无法取得联系。</w:t>
      </w:r>
    </w:p>
    <w:p w14:paraId="0CA7A49C">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9月4日，我局依法向国家税务总局昆玉税务局发送《协助核查函》，2025年9月15日，我局收到国家税务总局昆玉税务局《关于协助核查企业信息的复函》，当事人税务登记状态为2023年4月1日，认定为非正常。</w:t>
      </w:r>
    </w:p>
    <w:p w14:paraId="4FBBCF44">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7月10日、2025年7月25日，我局执法人员依法对该企业注册地址新疆昆玉市天山街16号进行核查走访，经走访224团玉龙社区居民委员会，社区工作人员核实新疆昆玉市天山街16号实际不存在，该公司负责人实际未在社区登记备案任何信息，未发现当事人开展任何形式的经营活动，我局执法人员依法制作现场笔录两份，分别由224团玉龙社区</w:t>
      </w:r>
      <w:r>
        <w:rPr>
          <w:rFonts w:hint="eastAsia" w:ascii="Times New Roman" w:hAnsi="Times New Roman" w:eastAsia="仿宋_GB2312" w:cs="Times New Roman"/>
          <w:color w:val="auto"/>
          <w:w w:val="98"/>
          <w:sz w:val="32"/>
          <w:szCs w:val="32"/>
          <w:highlight w:val="none"/>
          <w:lang w:val="en-US" w:eastAsia="zh-CN"/>
        </w:rPr>
        <w:t>工作人员</w:t>
      </w:r>
      <w:r>
        <w:rPr>
          <w:rFonts w:hint="eastAsia" w:ascii="Times New Roman" w:hAnsi="Times New Roman" w:eastAsia="仿宋_GB2312" w:cs="Times New Roman"/>
          <w:color w:val="auto"/>
          <w:w w:val="98"/>
          <w:sz w:val="32"/>
          <w:szCs w:val="32"/>
          <w:highlight w:val="none"/>
        </w:rPr>
        <w:t>作为见证人签字盖章确认。我局执法人员现场拨打当事人注册登记的联系电话，电话号码是空号。</w:t>
      </w:r>
    </w:p>
    <w:p w14:paraId="5114EB93">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2025年7月10日、2025年7月25日，224团玉龙社区居民委员会出具《证明》各1份，称未发现内蒙古中安工程项目管理有限责任公司昆玉市分公司实际开展经营活动，也无法联系上当事人负责人。</w:t>
      </w:r>
    </w:p>
    <w:p w14:paraId="7C7887A6">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经查，2025年9月15日我局执法人员依法提取《中国执行信息公开网》信息一份，查询结果显示在全国法院(包含地方各级法院)范围内没有找到内蒙古中安工程项目管理有限责任公司昆玉市分公司相关结果。</w:t>
      </w:r>
    </w:p>
    <w:p w14:paraId="313C53E7">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综上，当事人连续2年未按规定报送年度报告被列入经营异常名录未改正，未办理歇业，通过登记的住所无法取得联系。</w:t>
      </w:r>
    </w:p>
    <w:p w14:paraId="75A6E675">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本案对照相关法律法规，当事人的违法行为尚不构成移送追诉当事人刑事责任的条件。</w:t>
      </w:r>
    </w:p>
    <w:p w14:paraId="0CB51F43">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上述事实，主要有以下证据证明</w:t>
      </w:r>
    </w:p>
    <w:p w14:paraId="14A0C7EE">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1.2025年7月25日和2025年8月9日，我局执法人员依法向当事人登记住所邮寄专用信函两份及被退回，证明我局执法人员通过登记住所无法联系到当事人的事实；</w:t>
      </w:r>
    </w:p>
    <w:p w14:paraId="27BF6BC5">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2.2025年9月4日，我局依法向国家税务总局昆玉税务局发送《协助核查函》及2025年9月15日，我局收到国家税务总局昆玉税务局出具的《关于协助核查企业信息的复函》及附件各1份，证明当事人未进行税务登记的事实；</w:t>
      </w:r>
    </w:p>
    <w:p w14:paraId="22986D4B">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3.2025年7月10日、2025年7月25日，我局执法人员依法提取制作现场笔录两份，证明我局执法人员通过登记的住所无法取得联系的事实；</w:t>
      </w:r>
    </w:p>
    <w:p w14:paraId="29F32C9E">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4.2025年7月10日、2025年7月25日，我局执法人员依法提取224团玉龙社区居民委员会出具的《证明》两份，证明未发现当事人在新疆昆玉市天山街16号开展经营活动的事实；</w:t>
      </w:r>
    </w:p>
    <w:p w14:paraId="3501EB3F">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5.2025年7月10日、2025年7月25日，我局执法人员依法提取现场核查照片4张，证明新疆昆玉市天山街16号这一地址不存在，未发现当事人开展经营活动的事实；</w:t>
      </w:r>
    </w:p>
    <w:p w14:paraId="4FE1A0E6">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6.2025年9月15日，我局执法人员依法提取《中国执行信息公开网》信息1份，证明当事人无涉及民事诉讼的事实；</w:t>
      </w:r>
    </w:p>
    <w:p w14:paraId="70619304">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7.2025年7月10日，我局执法人员提取见证人身份证复印件正反面各1份，证明当事人具有作为见证人资质的事实；</w:t>
      </w:r>
    </w:p>
    <w:p w14:paraId="4A7EA8BE">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8.2025年9月19日，我局执法人员依法提取国家企业信用信息公示系统企业信用信息公示报告1份，证明当事人未在法定期限内完成年度报告的事实。</w:t>
      </w:r>
    </w:p>
    <w:p w14:paraId="1718909A">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以上证据材料均依照法定程序提取或收集，均由我局执法人员依法查询，符合法定形式。</w:t>
      </w:r>
    </w:p>
    <w:p w14:paraId="6A6AF47F">
      <w:pPr>
        <w:keepNext w:val="0"/>
        <w:keepLines w:val="0"/>
        <w:pageBreakBefore w:val="0"/>
        <w:kinsoku/>
        <w:bidi w:val="0"/>
        <w:spacing w:line="560" w:lineRule="exact"/>
        <w:ind w:firstLine="626" w:firstLineChars="200"/>
        <w:rPr>
          <w:rFonts w:hint="default"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pPr>
      <w:r>
        <w:rPr>
          <w:rFonts w:hint="eastAsia" w:ascii="Times New Roman" w:hAnsi="Times New Roman" w:eastAsia="仿宋_GB2312" w:cs="Times New Roman"/>
          <w:color w:val="auto"/>
          <w:w w:val="98"/>
          <w:sz w:val="32"/>
          <w:szCs w:val="32"/>
          <w:highlight w:val="none"/>
          <w:u w:val="none"/>
          <w:lang w:val="en-US" w:eastAsia="zh-CN"/>
        </w:rPr>
        <w:t>案件办理过程中，我局执法人员在</w:t>
      </w:r>
      <w:r>
        <w:rPr>
          <w:rFonts w:hint="eastAsia" w:ascii="Times New Roman" w:hAnsi="Times New Roman" w:eastAsia="仿宋_GB2312" w:cs="Times New Roman"/>
          <w:color w:val="auto"/>
          <w:spacing w:val="4"/>
          <w:sz w:val="32"/>
          <w:szCs w:val="32"/>
          <w:highlight w:val="none"/>
          <w:u w:val="none" w:color="auto"/>
          <w:lang w:val="en-US" w:eastAsia="zh-CN"/>
        </w:rPr>
        <w:t>邮寄专用信函时</w:t>
      </w:r>
      <w:r>
        <w:rPr>
          <w:rFonts w:hint="eastAsia" w:ascii="Times New Roman" w:hAnsi="Times New Roman" w:eastAsia="仿宋_GB2312" w:cs="Times New Roman"/>
          <w:color w:val="auto"/>
          <w:w w:val="98"/>
          <w:sz w:val="32"/>
          <w:szCs w:val="32"/>
          <w:highlight w:val="none"/>
          <w:u w:val="none"/>
          <w:lang w:val="en-US" w:eastAsia="zh-CN"/>
        </w:rPr>
        <w:t>已告知当事人依法享有陈述、申辩的权利，</w:t>
      </w:r>
      <w:r>
        <w:rPr>
          <w:rFonts w:hint="eastAsia" w:ascii="Times New Roman" w:hAnsi="Times New Roman" w:eastAsia="仿宋_GB2312" w:cs="Times New Roman"/>
          <w:color w:val="auto"/>
          <w:spacing w:val="4"/>
          <w:sz w:val="32"/>
          <w:szCs w:val="32"/>
          <w:highlight w:val="none"/>
          <w:u w:val="none" w:color="auto"/>
          <w:lang w:val="en-US" w:eastAsia="zh-CN"/>
        </w:rPr>
        <w:t>因无人签收，无法联系到当事人被</w:t>
      </w:r>
      <w:r>
        <w:rPr>
          <w:rFonts w:hint="eastAsia" w:ascii="仿宋_GB2312" w:hAnsi="仿宋_GB2312" w:eastAsia="仿宋_GB2312" w:cs="仿宋_GB2312"/>
          <w:color w:val="auto"/>
          <w:sz w:val="32"/>
          <w:szCs w:val="32"/>
          <w:highlight w:val="none"/>
        </w:rPr>
        <w:t>墨玉县皮墨垦区邮政支局</w:t>
      </w:r>
      <w:r>
        <w:rPr>
          <w:rFonts w:hint="eastAsia" w:ascii="仿宋_GB2312" w:hAnsi="仿宋_GB2312" w:eastAsia="仿宋_GB2312" w:cs="仿宋_GB2312"/>
          <w:bCs/>
          <w:sz w:val="32"/>
          <w:szCs w:val="32"/>
          <w:highlight w:val="none"/>
        </w:rPr>
        <w:t>退回</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我局未收到当事人陈述、申辩材料。2025年11月10日，我局执法人员依法制作《第十四师市场监督管理局行政处罚告知书》（第十四师市监罚告〔2025〕69号），文书内容包括</w:t>
      </w:r>
      <w:r>
        <w:rPr>
          <w:rFonts w:hint="default" w:ascii="Times New Roman" w:hAnsi="Times New Roman" w:eastAsia="仿宋_GB2312" w:cs="Times New Roman"/>
          <w:color w:val="auto"/>
          <w:w w:val="98"/>
          <w:sz w:val="32"/>
          <w:szCs w:val="32"/>
          <w:highlight w:val="none"/>
          <w:u w:val="none"/>
          <w:lang w:val="en-US" w:eastAsia="zh-CN"/>
        </w:rPr>
        <w:t>拟作出的行政处罚内容以及事实、理由、依据，以及</w:t>
      </w:r>
      <w:r>
        <w:rPr>
          <w:rFonts w:hint="eastAsia" w:ascii="Times New Roman" w:hAnsi="Times New Roman" w:eastAsia="仿宋_GB2312" w:cs="Times New Roman"/>
          <w:color w:val="auto"/>
          <w:w w:val="98"/>
          <w:sz w:val="32"/>
          <w:szCs w:val="32"/>
          <w:highlight w:val="none"/>
          <w:u w:val="none"/>
          <w:lang w:val="en-US" w:eastAsia="zh-CN"/>
        </w:rPr>
        <w:t>当事人</w:t>
      </w:r>
      <w:r>
        <w:rPr>
          <w:rFonts w:hint="default" w:ascii="Times New Roman" w:hAnsi="Times New Roman" w:eastAsia="仿宋_GB2312" w:cs="Times New Roman"/>
          <w:color w:val="auto"/>
          <w:w w:val="98"/>
          <w:sz w:val="32"/>
          <w:szCs w:val="32"/>
          <w:highlight w:val="none"/>
          <w:u w:val="none"/>
          <w:lang w:val="en-US" w:eastAsia="zh-CN"/>
        </w:rPr>
        <w:t>依法享有的陈述、申辩的权利。202</w:t>
      </w:r>
      <w:r>
        <w:rPr>
          <w:rFonts w:hint="eastAsia" w:ascii="Times New Roman" w:hAnsi="Times New Roman" w:eastAsia="仿宋_GB2312" w:cs="Times New Roman"/>
          <w:color w:val="auto"/>
          <w:w w:val="98"/>
          <w:sz w:val="32"/>
          <w:szCs w:val="32"/>
          <w:highlight w:val="none"/>
          <w:u w:val="none"/>
          <w:lang w:val="en-US" w:eastAsia="zh-CN"/>
        </w:rPr>
        <w:t>5</w:t>
      </w:r>
      <w:r>
        <w:rPr>
          <w:rFonts w:hint="default" w:ascii="Times New Roman" w:hAnsi="Times New Roman" w:eastAsia="仿宋_GB2312" w:cs="Times New Roman"/>
          <w:color w:val="auto"/>
          <w:w w:val="98"/>
          <w:sz w:val="32"/>
          <w:szCs w:val="32"/>
          <w:highlight w:val="none"/>
          <w:u w:val="none"/>
          <w:lang w:val="en-US" w:eastAsia="zh-CN"/>
        </w:rPr>
        <w:t>年</w:t>
      </w:r>
      <w:r>
        <w:rPr>
          <w:rFonts w:hint="eastAsia" w:ascii="Times New Roman" w:hAnsi="Times New Roman" w:eastAsia="仿宋_GB2312" w:cs="Times New Roman"/>
          <w:color w:val="auto"/>
          <w:w w:val="98"/>
          <w:sz w:val="32"/>
          <w:szCs w:val="32"/>
          <w:highlight w:val="none"/>
          <w:u w:val="none"/>
          <w:lang w:val="en-US" w:eastAsia="zh-CN"/>
        </w:rPr>
        <w:t>11</w:t>
      </w:r>
      <w:r>
        <w:rPr>
          <w:rFonts w:hint="default" w:ascii="Times New Roman" w:hAnsi="Times New Roman" w:eastAsia="仿宋_GB2312" w:cs="Times New Roman"/>
          <w:color w:val="auto"/>
          <w:w w:val="98"/>
          <w:sz w:val="32"/>
          <w:szCs w:val="32"/>
          <w:highlight w:val="none"/>
          <w:u w:val="none"/>
          <w:lang w:val="en-US" w:eastAsia="zh-CN"/>
        </w:rPr>
        <w:t>月1</w:t>
      </w:r>
      <w:r>
        <w:rPr>
          <w:rFonts w:hint="eastAsia" w:ascii="Times New Roman" w:hAnsi="Times New Roman" w:eastAsia="仿宋_GB2312" w:cs="Times New Roman"/>
          <w:color w:val="auto"/>
          <w:w w:val="98"/>
          <w:sz w:val="32"/>
          <w:szCs w:val="32"/>
          <w:highlight w:val="none"/>
          <w:u w:val="none"/>
          <w:lang w:val="en-US" w:eastAsia="zh-CN"/>
        </w:rPr>
        <w:t>1</w:t>
      </w:r>
      <w:r>
        <w:rPr>
          <w:rFonts w:hint="default" w:ascii="Times New Roman" w:hAnsi="Times New Roman" w:eastAsia="仿宋_GB2312" w:cs="Times New Roman"/>
          <w:color w:val="auto"/>
          <w:w w:val="98"/>
          <w:sz w:val="32"/>
          <w:szCs w:val="32"/>
          <w:highlight w:val="none"/>
          <w:u w:val="none"/>
          <w:lang w:val="en-US" w:eastAsia="zh-CN"/>
        </w:rPr>
        <w:t>日</w:t>
      </w:r>
      <w:r>
        <w:rPr>
          <w:rFonts w:hint="eastAsia" w:ascii="Times New Roman" w:hAnsi="Times New Roman" w:eastAsia="仿宋_GB2312" w:cs="Times New Roman"/>
          <w:color w:val="auto"/>
          <w:w w:val="98"/>
          <w:sz w:val="32"/>
          <w:szCs w:val="32"/>
          <w:highlight w:val="none"/>
          <w:u w:val="none"/>
          <w:lang w:val="en-US" w:eastAsia="zh-CN"/>
        </w:rPr>
        <w:t>，通过第十四师昆玉市政务网站、国家企业信用信息公示系统发布《第十四师市场监督管理局行政处罚文书送达公告》（第十四师市监罚送告〔2025〕5号），告知当事人享有陈述、申辩、听证的权利，</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我局</w:t>
      </w:r>
      <w:r>
        <w:rPr>
          <w:rFonts w:hint="eastAsia" w:ascii="Times New Roman" w:hAnsi="Times New Roman" w:eastAsia="仿宋_GB2312" w:cs="Times New Roman"/>
          <w:color w:val="auto"/>
          <w:w w:val="98"/>
          <w:sz w:val="32"/>
          <w:szCs w:val="32"/>
          <w:highlight w:val="none"/>
          <w:u w:val="none"/>
          <w:lang w:val="en-US" w:eastAsia="zh-CN"/>
        </w:rPr>
        <w:t>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日起五个工作日</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内未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收到当事人提出的</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陈述、申辩</w:t>
      </w:r>
      <w:r>
        <w:rPr>
          <w:rFonts w:hint="eastAsia" w:ascii="仿宋_GB2312" w:hAnsi="仿宋_GB2312" w:eastAsia="仿宋_GB2312" w:cs="仿宋_GB2312"/>
          <w:color w:val="000000" w:themeColor="text1"/>
          <w:sz w:val="32"/>
          <w:szCs w:val="32"/>
          <w:highlight w:val="none"/>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听证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申请。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自公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日起三十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日</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内，当事人也未到本局领取</w:t>
      </w:r>
      <w:r>
        <w:rPr>
          <w:rFonts w:hint="eastAsia" w:ascii="Times New Roman" w:hAnsi="Times New Roman" w:eastAsia="仿宋_GB2312" w:cs="Times New Roman"/>
          <w:color w:val="auto"/>
          <w:w w:val="98"/>
          <w:sz w:val="32"/>
          <w:szCs w:val="32"/>
          <w:highlight w:val="none"/>
          <w:u w:val="none"/>
          <w:lang w:val="en-US" w:eastAsia="zh-CN"/>
        </w:rPr>
        <w:t>《第十四师市场监督管理局行政处罚告知书》（第十四师市监罚告〔2025〕69号）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w:t>
      </w:r>
    </w:p>
    <w:p w14:paraId="6E380189">
      <w:pPr>
        <w:keepNext w:val="0"/>
        <w:keepLines w:val="0"/>
        <w:pageBreakBefore w:val="0"/>
        <w:widowControl w:val="0"/>
        <w:kinsoku/>
        <w:wordWrap/>
        <w:overflowPunct w:val="0"/>
        <w:topLinePunct/>
        <w:autoSpaceDE/>
        <w:autoSpaceDN/>
        <w:bidi w:val="0"/>
        <w:adjustRightInd w:val="0"/>
        <w:snapToGrid w:val="0"/>
        <w:spacing w:line="560" w:lineRule="exact"/>
        <w:ind w:left="0" w:right="0" w:firstLine="629" w:firstLineChars="200"/>
        <w:jc w:val="both"/>
        <w:textAlignment w:val="baseline"/>
        <w:rPr>
          <w:rFonts w:ascii="Times New Roman" w:hAnsi="Times New Roman" w:eastAsia="仿宋_GB2312" w:cs="Times New Roman"/>
          <w:color w:val="auto"/>
          <w:w w:val="98"/>
          <w:sz w:val="32"/>
          <w:szCs w:val="32"/>
          <w:highlight w:val="none"/>
          <w:u w:val="none"/>
        </w:rPr>
      </w:pPr>
      <w:r>
        <w:rPr>
          <w:rFonts w:hint="eastAsia" w:ascii="Times New Roman" w:hAnsi="Times New Roman" w:eastAsia="仿宋_GB2312" w:cs="Times New Roman"/>
          <w:b/>
          <w:bCs/>
          <w:color w:val="auto"/>
          <w:w w:val="98"/>
          <w:sz w:val="32"/>
          <w:szCs w:val="32"/>
          <w:highlight w:val="none"/>
          <w:u w:val="none"/>
          <w:lang w:val="en-US" w:eastAsia="zh-CN"/>
        </w:rPr>
        <w:t>本局认为，</w:t>
      </w:r>
      <w:r>
        <w:rPr>
          <w:rFonts w:ascii="Times New Roman" w:hAnsi="Times New Roman" w:eastAsia="仿宋_GB2312" w:cs="Times New Roman"/>
          <w:color w:val="auto"/>
          <w:w w:val="98"/>
          <w:sz w:val="32"/>
          <w:szCs w:val="32"/>
          <w:highlight w:val="none"/>
        </w:rPr>
        <w:t>当事人</w:t>
      </w:r>
      <w:r>
        <w:rPr>
          <w:rFonts w:hint="eastAsia" w:ascii="Times New Roman" w:hAnsi="Times New Roman" w:eastAsia="仿宋_GB2312" w:cs="Times New Roman"/>
          <w:color w:val="auto"/>
          <w:w w:val="98"/>
          <w:sz w:val="32"/>
          <w:szCs w:val="32"/>
          <w:highlight w:val="none"/>
          <w:lang w:eastAsia="zh-CN"/>
        </w:rPr>
        <w:t>连续</w:t>
      </w:r>
      <w:r>
        <w:rPr>
          <w:rFonts w:hint="eastAsia" w:ascii="Times New Roman" w:hAnsi="Times New Roman" w:eastAsia="仿宋_GB2312" w:cs="Times New Roman"/>
          <w:color w:val="auto"/>
          <w:w w:val="98"/>
          <w:sz w:val="32"/>
          <w:szCs w:val="32"/>
          <w:highlight w:val="none"/>
          <w:lang w:val="en-US" w:eastAsia="zh-CN"/>
        </w:rPr>
        <w:t>2</w:t>
      </w:r>
      <w:r>
        <w:rPr>
          <w:rFonts w:ascii="Times New Roman" w:hAnsi="Times New Roman" w:eastAsia="仿宋_GB2312" w:cs="Times New Roman"/>
          <w:color w:val="auto"/>
          <w:w w:val="98"/>
          <w:sz w:val="32"/>
          <w:szCs w:val="32"/>
          <w:highlight w:val="none"/>
        </w:rPr>
        <w:t>年未按规定报送年度报告被列入经营异常名录未改正，</w:t>
      </w:r>
      <w:r>
        <w:rPr>
          <w:rFonts w:hint="eastAsia" w:ascii="Times New Roman" w:hAnsi="Times New Roman" w:eastAsia="仿宋_GB2312" w:cs="Times New Roman"/>
          <w:color w:val="auto"/>
          <w:w w:val="98"/>
          <w:sz w:val="32"/>
          <w:szCs w:val="32"/>
          <w:highlight w:val="none"/>
        </w:rPr>
        <w:t>未办理歇业</w:t>
      </w:r>
      <w:r>
        <w:rPr>
          <w:rFonts w:hint="eastAsia" w:ascii="Times New Roman" w:hAnsi="Times New Roman" w:eastAsia="仿宋_GB2312" w:cs="Times New Roman"/>
          <w:color w:val="auto"/>
          <w:w w:val="98"/>
          <w:sz w:val="32"/>
          <w:szCs w:val="32"/>
          <w:highlight w:val="none"/>
          <w:lang w:eastAsia="zh-CN"/>
        </w:rPr>
        <w:t>，</w:t>
      </w:r>
      <w:r>
        <w:rPr>
          <w:rFonts w:ascii="Times New Roman" w:hAnsi="Times New Roman" w:eastAsia="仿宋_GB2312" w:cs="Times New Roman"/>
          <w:color w:val="auto"/>
          <w:w w:val="98"/>
          <w:sz w:val="32"/>
          <w:szCs w:val="32"/>
          <w:highlight w:val="none"/>
        </w:rPr>
        <w:t>且通过登记的</w:t>
      </w:r>
      <w:r>
        <w:rPr>
          <w:rFonts w:ascii="Times New Roman" w:hAnsi="Times New Roman" w:eastAsia="仿宋_GB2312" w:cs="Times New Roman"/>
          <w:color w:val="auto"/>
          <w:spacing w:val="4"/>
          <w:sz w:val="32"/>
          <w:szCs w:val="32"/>
          <w:highlight w:val="none"/>
        </w:rPr>
        <w:t>住所</w:t>
      </w:r>
      <w:r>
        <w:rPr>
          <w:rFonts w:ascii="Times New Roman" w:hAnsi="Times New Roman" w:eastAsia="仿宋_GB2312" w:cs="Times New Roman"/>
          <w:color w:val="auto"/>
          <w:w w:val="98"/>
          <w:sz w:val="32"/>
          <w:szCs w:val="32"/>
          <w:highlight w:val="none"/>
        </w:rPr>
        <w:t>无法取得联系的行为，违反了《企业信息公示暂行条例》第八条第一款“企业应当于每年1月1日至6月30日，通过国家企业信用信息公示系统向市场监督管理部门报送上一年度年度报告，并向社会公示。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ascii="Times New Roman" w:hAnsi="Times New Roman" w:eastAsia="仿宋_GB2312" w:cs="Times New Roman"/>
          <w:color w:val="auto"/>
          <w:w w:val="98"/>
          <w:sz w:val="32"/>
          <w:szCs w:val="32"/>
          <w:highlight w:val="none"/>
        </w:rPr>
        <w:t>”的规定，</w:t>
      </w:r>
      <w:r>
        <w:rPr>
          <w:rFonts w:hint="eastAsia" w:ascii="Times New Roman" w:hAnsi="Times New Roman" w:eastAsia="仿宋_GB2312" w:cs="Times New Roman"/>
          <w:color w:val="auto"/>
          <w:w w:val="98"/>
          <w:sz w:val="32"/>
          <w:szCs w:val="32"/>
          <w:highlight w:val="none"/>
          <w:lang w:val="en-US" w:eastAsia="zh-CN"/>
        </w:rPr>
        <w:t>构成</w:t>
      </w:r>
      <w:r>
        <w:rPr>
          <w:rFonts w:ascii="Times New Roman" w:hAnsi="Times New Roman" w:eastAsia="仿宋_GB2312" w:cs="Times New Roman"/>
          <w:color w:val="auto"/>
          <w:w w:val="98"/>
          <w:sz w:val="32"/>
          <w:szCs w:val="32"/>
          <w:highlight w:val="none"/>
        </w:rPr>
        <w:t>连续</w:t>
      </w:r>
      <w:r>
        <w:rPr>
          <w:rFonts w:hint="eastAsia" w:ascii="Times New Roman" w:hAnsi="Times New Roman" w:eastAsia="仿宋_GB2312" w:cs="Times New Roman"/>
          <w:color w:val="auto"/>
          <w:w w:val="98"/>
          <w:sz w:val="32"/>
          <w:szCs w:val="32"/>
          <w:highlight w:val="none"/>
          <w:lang w:val="en-US" w:eastAsia="zh-CN"/>
        </w:rPr>
        <w:t>2</w:t>
      </w:r>
      <w:r>
        <w:rPr>
          <w:rFonts w:ascii="Times New Roman" w:hAnsi="Times New Roman" w:eastAsia="仿宋_GB2312" w:cs="Times New Roman"/>
          <w:color w:val="auto"/>
          <w:w w:val="98"/>
          <w:sz w:val="32"/>
          <w:szCs w:val="32"/>
          <w:highlight w:val="none"/>
        </w:rPr>
        <w:t>年未按规定报送年度报告被列入经营异常名录未改正，且通过登记的住所无法取得联系的违法行为</w:t>
      </w:r>
      <w:r>
        <w:rPr>
          <w:rFonts w:hint="default" w:ascii="Times New Roman" w:hAnsi="Times New Roman" w:eastAsia="仿宋_GB2312" w:cs="Times New Roman"/>
          <w:color w:val="auto"/>
          <w:sz w:val="32"/>
          <w:szCs w:val="32"/>
          <w:highlight w:val="none"/>
          <w:u w:val="none"/>
        </w:rPr>
        <w:t>。</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应当</w:t>
      </w: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当事人</w:t>
      </w:r>
      <w:r>
        <w:rPr>
          <w:rFonts w:hint="default" w:ascii="Times New Roman" w:hAnsi="Times New Roman" w:eastAsia="仿宋_GB2312" w:cs="Times New Roman"/>
          <w:color w:val="auto"/>
          <w:sz w:val="32"/>
          <w:szCs w:val="32"/>
          <w:highlight w:val="none"/>
          <w:u w:val="none"/>
          <w:lang w:val="en-US" w:eastAsia="zh-CN"/>
        </w:rPr>
        <w:t>营业执照</w:t>
      </w:r>
      <w:r>
        <w:rPr>
          <w:rFonts w:hint="eastAsia" w:ascii="Times New Roman" w:hAnsi="Times New Roman" w:eastAsia="仿宋_GB2312" w:cs="Times New Roman"/>
          <w:color w:val="auto"/>
          <w:sz w:val="32"/>
          <w:szCs w:val="32"/>
          <w:highlight w:val="none"/>
          <w:u w:val="none"/>
          <w:lang w:val="en-US" w:eastAsia="zh-CN"/>
        </w:rPr>
        <w:t>。</w:t>
      </w:r>
    </w:p>
    <w:p w14:paraId="1ADE4BB3">
      <w:pPr>
        <w:spacing w:line="550" w:lineRule="exact"/>
        <w:ind w:firstLine="640" w:firstLineChars="200"/>
        <w:rPr>
          <w:rFonts w:ascii="Times New Roman" w:hAnsi="Times New Roman" w:cs="Times New Roman"/>
          <w:color w:val="auto"/>
          <w:sz w:val="32"/>
          <w:szCs w:val="32"/>
          <w:highlight w:val="none"/>
        </w:rPr>
      </w:pPr>
      <w:r>
        <w:rPr>
          <w:rFonts w:ascii="Times New Roman" w:hAnsi="Times New Roman" w:eastAsia="仿宋_GB2312" w:cs="Times New Roman"/>
          <w:color w:val="auto"/>
          <w:sz w:val="32"/>
          <w:szCs w:val="32"/>
          <w:highlight w:val="none"/>
        </w:rPr>
        <w:t>经查询《国家企业信用信息公示系统》，当事人</w:t>
      </w:r>
      <w:r>
        <w:rPr>
          <w:rFonts w:hint="eastAsia" w:ascii="Times New Roman" w:hAnsi="Times New Roman" w:eastAsia="仿宋_GB2312" w:cs="Times New Roman"/>
          <w:color w:val="auto"/>
          <w:sz w:val="32"/>
          <w:szCs w:val="32"/>
          <w:highlight w:val="none"/>
          <w:lang w:eastAsia="zh-CN"/>
        </w:rPr>
        <w:t>连续</w:t>
      </w:r>
      <w:r>
        <w:rPr>
          <w:rFonts w:hint="eastAsia" w:ascii="Times New Roman" w:hAnsi="Times New Roman" w:eastAsia="仿宋_GB2312" w:cs="Times New Roman"/>
          <w:color w:val="auto"/>
          <w:sz w:val="32"/>
          <w:szCs w:val="32"/>
          <w:highlight w:val="none"/>
          <w:lang w:val="en-US" w:eastAsia="zh-CN"/>
        </w:rPr>
        <w:t>两</w:t>
      </w:r>
      <w:r>
        <w:rPr>
          <w:rFonts w:ascii="Times New Roman" w:hAnsi="Times New Roman" w:eastAsia="仿宋_GB2312" w:cs="Times New Roman"/>
          <w:color w:val="auto"/>
          <w:sz w:val="32"/>
          <w:szCs w:val="32"/>
          <w:highlight w:val="none"/>
        </w:rPr>
        <w:t>年未按规定报送年度报告被列入经营异常名录未改正，且通过登记的住所无法取得联系</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经查询《新疆维吾尔自治区市场监管系统自由裁量基准（2024年版）》第一章第七节</w:t>
      </w:r>
      <w:r>
        <w:rPr>
          <w:rFonts w:ascii="Times New Roman" w:hAnsi="Times New Roman" w:eastAsia="仿宋_GB2312" w:cs="Times New Roman"/>
          <w:color w:val="auto"/>
          <w:w w:val="98"/>
          <w:sz w:val="32"/>
          <w:szCs w:val="32"/>
          <w:highlight w:val="none"/>
        </w:rPr>
        <w:t>《企业信息公示暂行条例》</w:t>
      </w:r>
      <w:r>
        <w:rPr>
          <w:rFonts w:hint="eastAsia" w:ascii="Times New Roman" w:hAnsi="Times New Roman" w:eastAsia="仿宋_GB2312" w:cs="Times New Roman"/>
          <w:color w:val="auto"/>
          <w:sz w:val="32"/>
          <w:szCs w:val="32"/>
          <w:highlight w:val="none"/>
          <w:lang w:val="en-US" w:eastAsia="zh-CN"/>
        </w:rPr>
        <w:t>，裁量基准中无</w:t>
      </w:r>
      <w:r>
        <w:rPr>
          <w:rFonts w:ascii="Times New Roman" w:hAnsi="Times New Roman" w:eastAsia="仿宋_GB2312" w:cs="Times New Roman"/>
          <w:color w:val="auto"/>
          <w:sz w:val="32"/>
          <w:szCs w:val="32"/>
          <w:highlight w:val="none"/>
        </w:rPr>
        <w:t>不予行政处罚、减轻、从轻</w:t>
      </w:r>
      <w:r>
        <w:rPr>
          <w:rFonts w:hint="eastAsia" w:ascii="Times New Roman" w:hAnsi="Times New Roman" w:eastAsia="仿宋_GB2312" w:cs="Times New Roman"/>
          <w:color w:val="auto"/>
          <w:sz w:val="32"/>
          <w:szCs w:val="32"/>
          <w:highlight w:val="none"/>
          <w:lang w:val="en-US" w:eastAsia="zh-CN"/>
        </w:rPr>
        <w:t>等</w:t>
      </w:r>
      <w:r>
        <w:rPr>
          <w:rFonts w:ascii="Times New Roman" w:hAnsi="Times New Roman" w:eastAsia="仿宋_GB2312" w:cs="Times New Roman"/>
          <w:color w:val="auto"/>
          <w:sz w:val="32"/>
          <w:szCs w:val="32"/>
          <w:highlight w:val="none"/>
        </w:rPr>
        <w:t>行政处罚</w:t>
      </w:r>
      <w:r>
        <w:rPr>
          <w:rFonts w:hint="eastAsia" w:ascii="Times New Roman" w:hAnsi="Times New Roman" w:eastAsia="仿宋_GB2312" w:cs="Times New Roman"/>
          <w:color w:val="auto"/>
          <w:sz w:val="32"/>
          <w:szCs w:val="32"/>
          <w:highlight w:val="none"/>
          <w:lang w:val="en-US" w:eastAsia="zh-CN"/>
        </w:rPr>
        <w:t>的</w:t>
      </w:r>
      <w:r>
        <w:rPr>
          <w:rFonts w:ascii="Times New Roman" w:hAnsi="Times New Roman" w:eastAsia="仿宋_GB2312" w:cs="Times New Roman"/>
          <w:color w:val="auto"/>
          <w:sz w:val="32"/>
          <w:szCs w:val="32"/>
          <w:highlight w:val="none"/>
        </w:rPr>
        <w:t>情形。</w:t>
      </w:r>
    </w:p>
    <w:p w14:paraId="27C70287">
      <w:pPr>
        <w:keepNext w:val="0"/>
        <w:keepLines w:val="0"/>
        <w:pageBreakBefore w:val="0"/>
        <w:widowControl w:val="0"/>
        <w:kinsoku/>
        <w:wordWrap/>
        <w:overflowPunct w:val="0"/>
        <w:bidi w:val="0"/>
        <w:spacing w:line="560" w:lineRule="exact"/>
        <w:ind w:left="0" w:leftChars="0" w:firstLine="669"/>
        <w:jc w:val="both"/>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color w:val="auto"/>
          <w:sz w:val="32"/>
          <w:szCs w:val="32"/>
          <w:highlight w:val="none"/>
          <w:u w:val="none" w:color="auto"/>
          <w:lang w:val="en-US" w:eastAsia="zh-CN"/>
        </w:rPr>
        <w:t>综上所述，当事人的行为违反了</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default" w:ascii="Times New Roman" w:hAnsi="Times New Roman" w:eastAsia="仿宋_GB2312" w:cs="Times New Roman"/>
          <w:color w:val="auto"/>
          <w:sz w:val="32"/>
          <w:szCs w:val="32"/>
          <w:highlight w:val="none"/>
          <w:u w:val="none" w:color="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eastAsia" w:ascii="Times New Roman" w:hAnsi="Times New Roman" w:eastAsia="仿宋_GB2312" w:cs="Times New Roman"/>
          <w:bCs/>
          <w:color w:val="auto"/>
          <w:sz w:val="32"/>
          <w:szCs w:val="32"/>
          <w:highlight w:val="none"/>
          <w:lang w:val="en-US" w:eastAsia="zh-CN"/>
        </w:rPr>
        <w:t>我局决定</w:t>
      </w:r>
      <w:r>
        <w:rPr>
          <w:rFonts w:hint="default" w:ascii="Times New Roman" w:hAnsi="Times New Roman" w:eastAsia="仿宋_GB2312" w:cs="Times New Roman"/>
          <w:bCs/>
          <w:color w:val="auto"/>
          <w:sz w:val="32"/>
          <w:szCs w:val="32"/>
          <w:highlight w:val="none"/>
          <w:lang w:val="en-US" w:eastAsia="zh-CN"/>
        </w:rPr>
        <w:t>对当事人处罚如下：</w:t>
      </w:r>
    </w:p>
    <w:p w14:paraId="493B9F79">
      <w:pPr>
        <w:pStyle w:val="4"/>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bCs/>
          <w:color w:val="auto"/>
          <w:sz w:val="32"/>
          <w:szCs w:val="32"/>
          <w:highlight w:val="none"/>
          <w:lang w:val="en-US" w:eastAsia="zh-CN"/>
        </w:rPr>
        <w:t>吊销内蒙古中安工程项目管理有限责任公司昆玉市分公司（统一社会信用代码：91659009MA785K674T）的营业执照。</w:t>
      </w:r>
    </w:p>
    <w:p w14:paraId="3D75A965">
      <w:pPr>
        <w:pStyle w:val="4"/>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color w:val="auto"/>
          <w:sz w:val="32"/>
          <w:szCs w:val="32"/>
          <w:highlight w:val="none"/>
        </w:rPr>
      </w:pPr>
      <w:r>
        <w:rPr>
          <w:rFonts w:hint="eastAsia" w:ascii="Times New Roman" w:hAnsi="Times New Roman" w:eastAsia="仿宋_GB2312" w:cs="Times New Roman"/>
          <w:b w:val="0"/>
          <w:bCs w:val="0"/>
          <w:color w:val="auto"/>
          <w:kern w:val="2"/>
          <w:sz w:val="32"/>
          <w:szCs w:val="32"/>
          <w:highlight w:val="none"/>
          <w:lang w:val="en-US" w:eastAsia="zh-CN" w:bidi="ar-SA"/>
        </w:rPr>
        <w:t>如</w:t>
      </w:r>
      <w:r>
        <w:rPr>
          <w:rFonts w:hint="eastAsia" w:eastAsia="仿宋_GB2312" w:cs="Times New Roman"/>
          <w:b w:val="0"/>
          <w:bCs w:val="0"/>
          <w:color w:val="auto"/>
          <w:kern w:val="2"/>
          <w:sz w:val="32"/>
          <w:szCs w:val="32"/>
          <w:highlight w:val="none"/>
          <w:lang w:val="en-US" w:eastAsia="zh-CN" w:bidi="ar-SA"/>
        </w:rPr>
        <w:t>你（单位）不服本行政处罚决定，可在收到本决定</w:t>
      </w:r>
      <w:r>
        <w:rPr>
          <w:rFonts w:hint="eastAsia" w:eastAsia="仿宋_GB2312" w:cs="Times New Roman"/>
          <w:b w:val="0"/>
          <w:bCs w:val="0"/>
          <w:color w:val="auto"/>
          <w:kern w:val="2"/>
          <w:sz w:val="32"/>
          <w:szCs w:val="32"/>
          <w:highlight w:val="none"/>
          <w:u w:val="none"/>
          <w:lang w:val="en-US" w:eastAsia="zh-CN" w:bidi="ar-SA"/>
        </w:rPr>
        <w:t>书之日起</w:t>
      </w:r>
      <w:r>
        <w:rPr>
          <w:rFonts w:hint="eastAsia" w:eastAsia="仿宋_GB2312" w:cs="Times New Roman"/>
          <w:b w:val="0"/>
          <w:bCs w:val="0"/>
          <w:color w:val="auto"/>
          <w:kern w:val="2"/>
          <w:sz w:val="32"/>
          <w:szCs w:val="32"/>
          <w:highlight w:val="none"/>
          <w:u w:val="single"/>
          <w:lang w:val="en-US" w:eastAsia="zh-CN" w:bidi="ar-SA"/>
        </w:rPr>
        <w:t>六十日</w:t>
      </w:r>
      <w:r>
        <w:rPr>
          <w:rFonts w:hint="eastAsia" w:eastAsia="仿宋_GB2312" w:cs="Times New Roman"/>
          <w:b w:val="0"/>
          <w:bCs w:val="0"/>
          <w:color w:val="auto"/>
          <w:kern w:val="2"/>
          <w:sz w:val="32"/>
          <w:szCs w:val="32"/>
          <w:highlight w:val="none"/>
          <w:u w:val="none"/>
          <w:lang w:val="en-US" w:eastAsia="zh-CN" w:bidi="ar-SA"/>
        </w:rPr>
        <w:t>内</w:t>
      </w:r>
      <w:r>
        <w:rPr>
          <w:rFonts w:hint="eastAsia" w:eastAsia="仿宋_GB2312" w:cs="Times New Roman"/>
          <w:b w:val="0"/>
          <w:bCs w:val="0"/>
          <w:color w:val="auto"/>
          <w:kern w:val="2"/>
          <w:sz w:val="32"/>
          <w:szCs w:val="32"/>
          <w:highlight w:val="none"/>
          <w:lang w:val="en-US" w:eastAsia="zh-CN" w:bidi="ar-SA"/>
        </w:rPr>
        <w:t>向</w:t>
      </w:r>
      <w:r>
        <w:rPr>
          <w:rFonts w:hint="eastAsia" w:cs="Times New Roman"/>
          <w:b w:val="0"/>
          <w:bCs w:val="0"/>
          <w:color w:val="auto"/>
          <w:kern w:val="2"/>
          <w:sz w:val="32"/>
          <w:szCs w:val="32"/>
          <w:highlight w:val="none"/>
          <w:u w:val="single"/>
          <w:lang w:val="en-US" w:eastAsia="zh-CN" w:bidi="ar-SA"/>
        </w:rPr>
        <w:t>第十四师</w:t>
      </w:r>
      <w:r>
        <w:rPr>
          <w:rFonts w:hint="eastAsia" w:eastAsia="仿宋_GB2312" w:cs="Times New Roman"/>
          <w:b w:val="0"/>
          <w:bCs w:val="0"/>
          <w:color w:val="auto"/>
          <w:kern w:val="2"/>
          <w:sz w:val="32"/>
          <w:szCs w:val="32"/>
          <w:highlight w:val="none"/>
          <w:lang w:val="en-US" w:eastAsia="zh-CN" w:bidi="ar-SA"/>
        </w:rPr>
        <w:t>申请行政复议，</w:t>
      </w:r>
      <w:r>
        <w:rPr>
          <w:rFonts w:hint="eastAsia"/>
          <w:color w:val="auto"/>
          <w:sz w:val="32"/>
          <w:szCs w:val="32"/>
          <w:highlight w:val="none"/>
          <w:lang w:val="en-US" w:eastAsia="zh-CN"/>
        </w:rPr>
        <w:t>也</w:t>
      </w:r>
      <w:r>
        <w:rPr>
          <w:rFonts w:hint="eastAsia"/>
          <w:color w:val="auto"/>
          <w:sz w:val="32"/>
          <w:szCs w:val="32"/>
          <w:highlight w:val="none"/>
        </w:rPr>
        <w:t>可以</w:t>
      </w:r>
      <w:r>
        <w:rPr>
          <w:rFonts w:hint="eastAsia"/>
          <w:color w:val="auto"/>
          <w:sz w:val="32"/>
          <w:szCs w:val="32"/>
          <w:highlight w:val="none"/>
          <w:u w:val="none"/>
        </w:rPr>
        <w:t>在</w:t>
      </w:r>
      <w:r>
        <w:rPr>
          <w:rFonts w:hint="eastAsia"/>
          <w:color w:val="auto"/>
          <w:sz w:val="32"/>
          <w:szCs w:val="32"/>
          <w:highlight w:val="none"/>
          <w:u w:val="single"/>
          <w:lang w:eastAsia="zh-CN"/>
        </w:rPr>
        <w:t>六个月</w:t>
      </w:r>
      <w:r>
        <w:rPr>
          <w:rFonts w:hint="eastAsia"/>
          <w:color w:val="auto"/>
          <w:sz w:val="32"/>
          <w:szCs w:val="32"/>
          <w:highlight w:val="none"/>
          <w:u w:val="none"/>
        </w:rPr>
        <w:t>内依</w:t>
      </w:r>
      <w:r>
        <w:rPr>
          <w:rFonts w:hint="eastAsia"/>
          <w:color w:val="auto"/>
          <w:sz w:val="32"/>
          <w:szCs w:val="32"/>
          <w:highlight w:val="none"/>
        </w:rPr>
        <w:t>法</w:t>
      </w:r>
      <w:r>
        <w:rPr>
          <w:rFonts w:hint="eastAsia" w:ascii="Times New Roman" w:hAnsi="Times New Roman" w:eastAsia="仿宋_GB2312" w:cs="仿宋_GB2312"/>
          <w:color w:val="auto"/>
          <w:sz w:val="32"/>
          <w:szCs w:val="32"/>
          <w:highlight w:val="none"/>
        </w:rPr>
        <w:t>向</w:t>
      </w:r>
      <w:r>
        <w:rPr>
          <w:rFonts w:hint="eastAsia" w:ascii="Times New Roman" w:hAnsi="Times New Roman" w:cs="仿宋_GB2312"/>
          <w:color w:val="auto"/>
          <w:sz w:val="32"/>
          <w:szCs w:val="32"/>
          <w:highlight w:val="none"/>
          <w:u w:val="single"/>
          <w:lang w:eastAsia="zh-CN"/>
        </w:rPr>
        <w:t>新疆生产建设兵团</w:t>
      </w:r>
      <w:r>
        <w:rPr>
          <w:rFonts w:hint="eastAsia" w:ascii="Times New Roman" w:hAnsi="Times New Roman" w:eastAsia="仿宋_GB2312" w:cs="仿宋_GB2312"/>
          <w:color w:val="auto"/>
          <w:sz w:val="32"/>
          <w:szCs w:val="32"/>
          <w:highlight w:val="none"/>
          <w:u w:val="single"/>
        </w:rPr>
        <w:t>和田垦区人民</w:t>
      </w:r>
      <w:r>
        <w:rPr>
          <w:rFonts w:hint="eastAsia" w:cs="仿宋_GB2312"/>
          <w:color w:val="auto"/>
          <w:sz w:val="32"/>
          <w:szCs w:val="32"/>
          <w:highlight w:val="none"/>
          <w:u w:val="single"/>
          <w:lang w:val="en-US" w:eastAsia="zh-CN"/>
        </w:rPr>
        <w:t>法院</w:t>
      </w:r>
      <w:r>
        <w:rPr>
          <w:rFonts w:hint="eastAsia"/>
          <w:color w:val="auto"/>
          <w:sz w:val="32"/>
          <w:szCs w:val="32"/>
          <w:highlight w:val="none"/>
        </w:rPr>
        <w:t>提起行政诉讼。复议和诉讼期间，行政处罚不停止执行。</w:t>
      </w:r>
    </w:p>
    <w:p w14:paraId="2858A93D">
      <w:pPr>
        <w:keepNext w:val="0"/>
        <w:keepLines w:val="0"/>
        <w:pageBreakBefore w:val="0"/>
        <w:widowControl/>
        <w:tabs>
          <w:tab w:val="left" w:pos="5667"/>
        </w:tabs>
        <w:kinsoku/>
        <w:wordWrap w:val="0"/>
        <w:overflowPunct/>
        <w:topLinePunct w:val="0"/>
        <w:bidi w:val="0"/>
        <w:snapToGrid w:val="0"/>
        <w:spacing w:line="560" w:lineRule="exact"/>
        <w:ind w:firstLine="624" w:firstLineChars="200"/>
        <w:jc w:val="right"/>
        <w:rPr>
          <w:rFonts w:ascii="仿宋_GB2312" w:hAnsi="仿宋_GB2312" w:eastAsia="仿宋_GB2312" w:cs="仿宋_GB2312"/>
          <w:sz w:val="32"/>
          <w:szCs w:val="32"/>
          <w:highlight w:val="none"/>
        </w:rPr>
      </w:pPr>
      <w:r>
        <w:rPr>
          <w:rFonts w:hint="eastAsia" w:ascii="仿宋_GB2312" w:hAnsi="仿宋_GB2312" w:eastAsia="仿宋_GB2312" w:cs="仿宋_GB2312"/>
          <w:spacing w:val="-4"/>
          <w:sz w:val="32"/>
          <w:szCs w:val="32"/>
          <w:highlight w:val="none"/>
        </w:rPr>
        <w:t>第十四师市场监督管理局</w:t>
      </w:r>
      <w:r>
        <w:rPr>
          <w:rFonts w:hint="eastAsia" w:ascii="仿宋_GB2312" w:hAnsi="仿宋_GB2312" w:eastAsia="仿宋_GB2312" w:cs="仿宋_GB2312"/>
          <w:sz w:val="32"/>
          <w:szCs w:val="32"/>
          <w:highlight w:val="none"/>
        </w:rPr>
        <w:t xml:space="preserve">    </w:t>
      </w:r>
    </w:p>
    <w:p w14:paraId="1D692889">
      <w:pPr>
        <w:keepNext w:val="0"/>
        <w:keepLines w:val="0"/>
        <w:pageBreakBefore w:val="0"/>
        <w:widowControl/>
        <w:kinsoku/>
        <w:wordWrap w:val="0"/>
        <w:overflowPunct/>
        <w:topLinePunct w:val="0"/>
        <w:bidi w:val="0"/>
        <w:snapToGrid w:val="0"/>
        <w:spacing w:line="560" w:lineRule="exact"/>
        <w:ind w:firstLine="576" w:firstLineChars="200"/>
        <w:jc w:val="right"/>
        <w:rPr>
          <w:rFonts w:hint="eastAsia" w:ascii="仿宋_GB2312" w:hAnsi="仿宋_GB2312" w:eastAsia="仿宋_GB2312" w:cs="仿宋_GB2312"/>
          <w:spacing w:val="-16"/>
          <w:sz w:val="32"/>
          <w:szCs w:val="32"/>
          <w:highlight w:val="none"/>
        </w:rPr>
      </w:pPr>
      <w:r>
        <w:rPr>
          <w:rFonts w:hint="eastAsia" w:ascii="仿宋_GB2312" w:hAnsi="仿宋_GB2312" w:eastAsia="仿宋_GB2312" w:cs="仿宋_GB2312"/>
          <w:spacing w:val="-16"/>
          <w:sz w:val="32"/>
          <w:szCs w:val="32"/>
          <w:highlight w:val="none"/>
          <w:lang w:val="en-US" w:eastAsia="zh-CN"/>
        </w:rPr>
        <w:t xml:space="preserve">               2025</w:t>
      </w:r>
      <w:r>
        <w:rPr>
          <w:rFonts w:hint="eastAsia" w:ascii="仿宋_GB2312" w:hAnsi="仿宋_GB2312" w:eastAsia="仿宋_GB2312" w:cs="仿宋_GB2312"/>
          <w:spacing w:val="-16"/>
          <w:sz w:val="32"/>
          <w:szCs w:val="32"/>
          <w:highlight w:val="none"/>
        </w:rPr>
        <w:t>年</w:t>
      </w:r>
      <w:r>
        <w:rPr>
          <w:rFonts w:hint="eastAsia" w:ascii="仿宋_GB2312" w:hAnsi="仿宋_GB2312" w:eastAsia="仿宋_GB2312" w:cs="仿宋_GB2312"/>
          <w:spacing w:val="10"/>
          <w:sz w:val="32"/>
          <w:szCs w:val="32"/>
          <w:highlight w:val="none"/>
          <w:lang w:val="en-US" w:eastAsia="zh-CN"/>
        </w:rPr>
        <w:t>12</w:t>
      </w:r>
      <w:r>
        <w:rPr>
          <w:rFonts w:hint="eastAsia" w:ascii="仿宋_GB2312" w:hAnsi="仿宋_GB2312" w:eastAsia="仿宋_GB2312" w:cs="仿宋_GB2312"/>
          <w:spacing w:val="-16"/>
          <w:sz w:val="32"/>
          <w:szCs w:val="32"/>
          <w:highlight w:val="none"/>
        </w:rPr>
        <w:t>月</w:t>
      </w:r>
      <w:r>
        <w:rPr>
          <w:rFonts w:hint="eastAsia" w:ascii="仿宋_GB2312" w:hAnsi="仿宋_GB2312" w:eastAsia="仿宋_GB2312" w:cs="仿宋_GB2312"/>
          <w:spacing w:val="24"/>
          <w:sz w:val="32"/>
          <w:szCs w:val="32"/>
          <w:highlight w:val="none"/>
          <w:lang w:val="en-US" w:eastAsia="zh-CN"/>
        </w:rPr>
        <w:t>16</w:t>
      </w:r>
      <w:r>
        <w:rPr>
          <w:rFonts w:hint="eastAsia" w:ascii="仿宋_GB2312" w:hAnsi="仿宋_GB2312" w:eastAsia="仿宋_GB2312" w:cs="仿宋_GB2312"/>
          <w:spacing w:val="-16"/>
          <w:sz w:val="32"/>
          <w:szCs w:val="32"/>
          <w:highlight w:val="none"/>
        </w:rPr>
        <w:t xml:space="preserve">日   </w:t>
      </w:r>
      <w:r>
        <w:rPr>
          <w:rFonts w:hint="eastAsia" w:ascii="仿宋_GB2312" w:hAnsi="仿宋_GB2312" w:eastAsia="仿宋_GB2312" w:cs="仿宋_GB2312"/>
          <w:spacing w:val="-16"/>
          <w:sz w:val="32"/>
          <w:szCs w:val="32"/>
          <w:highlight w:val="none"/>
          <w:lang w:val="en-US" w:eastAsia="zh-CN"/>
        </w:rPr>
        <w:t xml:space="preserve">        </w:t>
      </w:r>
    </w:p>
    <w:p w14:paraId="7B59F7E1">
      <w:pPr>
        <w:keepNext w:val="0"/>
        <w:keepLines w:val="0"/>
        <w:pageBreakBefore w:val="0"/>
        <w:widowControl/>
        <w:kinsoku/>
        <w:overflowPunct/>
        <w:topLinePunct w:val="0"/>
        <w:bidi w:val="0"/>
        <w:snapToGrid w:val="0"/>
        <w:spacing w:line="560" w:lineRule="exact"/>
        <w:jc w:val="distribute"/>
        <w:rPr>
          <w:rFonts w:ascii="Malgun Gothic"/>
          <w:highlight w:val="none"/>
        </w:rPr>
      </w:pPr>
      <w:r>
        <w:rPr>
          <w:rFonts w:ascii="黑体" w:hAnsi="黑体" w:eastAsia="黑体" w:cs="黑体"/>
          <w:color w:val="231F20"/>
          <w:spacing w:val="-31"/>
          <w:sz w:val="32"/>
          <w:szCs w:val="32"/>
          <w:highlight w:val="none"/>
        </w:rPr>
        <w:t>（市场监督管理部门将依法向社会公开行政处罚决定信息）</w:t>
      </w:r>
    </w:p>
    <w:p w14:paraId="588C6968">
      <w:pPr>
        <w:keepNext w:val="0"/>
        <w:keepLines w:val="0"/>
        <w:pageBreakBefore w:val="0"/>
        <w:widowControl/>
        <w:kinsoku/>
        <w:overflowPunct/>
        <w:topLinePunct w:val="0"/>
        <w:bidi w:val="0"/>
        <w:snapToGrid w:val="0"/>
        <w:spacing w:line="560" w:lineRule="exact"/>
        <w:textAlignment w:val="center"/>
        <w:rPr>
          <w:highlight w:val="none"/>
        </w:rPr>
      </w:pPr>
      <w:r>
        <w:rPr>
          <w:highlight w:val="none"/>
        </w:rPr>
        <w:drawing>
          <wp:inline distT="0" distB="0" distL="0" distR="0">
            <wp:extent cx="5550535" cy="15875"/>
            <wp:effectExtent l="0" t="0" r="0" b="0"/>
            <wp:docPr id="229" name="IM 229"/>
            <wp:cNvGraphicFramePr/>
            <a:graphic xmlns:a="http://schemas.openxmlformats.org/drawingml/2006/main">
              <a:graphicData uri="http://schemas.openxmlformats.org/drawingml/2006/picture">
                <pic:pic xmlns:pic="http://schemas.openxmlformats.org/drawingml/2006/picture">
                  <pic:nvPicPr>
                    <pic:cNvPr id="229" name="IM 229"/>
                    <pic:cNvPicPr/>
                  </pic:nvPicPr>
                  <pic:blipFill>
                    <a:blip r:embed="rId4"/>
                    <a:stretch>
                      <a:fillRect/>
                    </a:stretch>
                  </pic:blipFill>
                  <pic:spPr>
                    <a:xfrm>
                      <a:off x="0" y="0"/>
                      <a:ext cx="5550535" cy="16509"/>
                    </a:xfrm>
                    <a:prstGeom prst="rect">
                      <a:avLst/>
                    </a:prstGeom>
                  </pic:spPr>
                </pic:pic>
              </a:graphicData>
            </a:graphic>
          </wp:inline>
        </w:drawing>
      </w:r>
    </w:p>
    <w:p w14:paraId="40271A71">
      <w:r>
        <w:rPr>
          <w:rFonts w:ascii="仿宋" w:hAnsi="仿宋" w:eastAsia="仿宋" w:cs="仿宋"/>
          <w:spacing w:val="-10"/>
          <w:sz w:val="32"/>
          <w:szCs w:val="32"/>
          <w:highlight w:val="none"/>
        </w:rPr>
        <w:t>本文书一式</w:t>
      </w:r>
      <w:r>
        <w:rPr>
          <w:rFonts w:ascii="仿宋" w:hAnsi="仿宋" w:eastAsia="仿宋" w:cs="仿宋"/>
          <w:spacing w:val="6"/>
          <w:sz w:val="32"/>
          <w:szCs w:val="32"/>
          <w:highlight w:val="none"/>
          <w:u w:val="single"/>
        </w:rPr>
        <w:t xml:space="preserve">  </w:t>
      </w:r>
      <w:r>
        <w:rPr>
          <w:rFonts w:hint="eastAsia" w:ascii="仿宋" w:hAnsi="仿宋" w:eastAsia="仿宋" w:cs="仿宋"/>
          <w:spacing w:val="6"/>
          <w:sz w:val="32"/>
          <w:szCs w:val="32"/>
          <w:highlight w:val="none"/>
          <w:u w:val="single"/>
        </w:rPr>
        <w:t>两</w:t>
      </w:r>
      <w:r>
        <w:rPr>
          <w:rFonts w:ascii="仿宋" w:hAnsi="仿宋" w:eastAsia="仿宋" w:cs="仿宋"/>
          <w:spacing w:val="6"/>
          <w:sz w:val="32"/>
          <w:szCs w:val="32"/>
          <w:highlight w:val="none"/>
          <w:u w:val="single"/>
        </w:rPr>
        <w:t xml:space="preserve"> </w:t>
      </w:r>
      <w:r>
        <w:rPr>
          <w:rFonts w:ascii="仿宋" w:hAnsi="仿宋" w:eastAsia="仿宋" w:cs="仿宋"/>
          <w:spacing w:val="-10"/>
          <w:sz w:val="32"/>
          <w:szCs w:val="32"/>
          <w:highlight w:val="none"/>
        </w:rPr>
        <w:t>份，</w:t>
      </w:r>
      <w:r>
        <w:rPr>
          <w:rFonts w:ascii="仿宋" w:hAnsi="仿宋" w:eastAsia="仿宋" w:cs="仿宋"/>
          <w:spacing w:val="20"/>
          <w:sz w:val="32"/>
          <w:szCs w:val="32"/>
          <w:highlight w:val="none"/>
          <w:u w:val="single"/>
        </w:rPr>
        <w:t xml:space="preserve"> </w:t>
      </w:r>
      <w:r>
        <w:rPr>
          <w:rFonts w:hint="eastAsia" w:ascii="仿宋" w:hAnsi="仿宋" w:eastAsia="仿宋" w:cs="仿宋"/>
          <w:spacing w:val="20"/>
          <w:sz w:val="32"/>
          <w:szCs w:val="32"/>
          <w:highlight w:val="none"/>
          <w:u w:val="single"/>
        </w:rPr>
        <w:t>一</w:t>
      </w:r>
      <w:r>
        <w:rPr>
          <w:rFonts w:ascii="仿宋" w:hAnsi="仿宋" w:eastAsia="仿宋" w:cs="仿宋"/>
          <w:spacing w:val="20"/>
          <w:sz w:val="32"/>
          <w:szCs w:val="32"/>
          <w:highlight w:val="none"/>
          <w:u w:val="single"/>
        </w:rPr>
        <w:t xml:space="preserve"> </w:t>
      </w:r>
      <w:r>
        <w:rPr>
          <w:rFonts w:ascii="仿宋" w:hAnsi="仿宋" w:eastAsia="仿宋" w:cs="仿宋"/>
          <w:spacing w:val="-10"/>
          <w:sz w:val="32"/>
          <w:szCs w:val="32"/>
          <w:highlight w:val="none"/>
        </w:rPr>
        <w:t>份送达，一</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Malgun Gothic">
    <w:panose1 w:val="020B0503020000020004"/>
    <w:charset w:val="81"/>
    <w:family w:val="swiss"/>
    <w:pitch w:val="default"/>
    <w:sig w:usb0="9000002F" w:usb1="29D77CFB" w:usb2="00000012" w:usb3="00000000" w:csb0="0008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AE5664"/>
    <w:rsid w:val="10AE56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正文+1"/>
    <w:basedOn w:val="1"/>
    <w:qFormat/>
    <w:uiPriority w:val="0"/>
    <w:pPr>
      <w:widowControl/>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2025-12-29T02:21:00Z</dcterms:created>
  <dc:creator>汪**</dc:creator>
  <cp:lastModifiedBy>汪**</cp:lastModifiedBy>
  <dcterms:modified xsi:type="dcterms:W3CDTF">2025-12-29T02:22:16Z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0EFE83B7F63B42EC8DD5B6BAE6925DA2_11</vt:lpwstr>
  </property>
  <property fmtid="{D5CDD505-2E9C-101B-9397-08002B2CF9AE}" pid="4" name="KSOTemplateDocerSaveRecord">
    <vt:lpwstr>eyJoZGlkIjoiOWU0NDlmZTFlMzg4YzliZGMyYmIxNmQzNTM4NzMzZTMiLCJ1c2VySWQiOiIzOTA1NTQyMzYifQ==</vt:lpwstr>
  </property>
</Properties>
</file>