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1D29FD">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方正小标宋简体" w:eastAsia="方正小标宋简体" w:cs="方正小标宋简体"/>
          <w:color w:val="auto"/>
          <w:sz w:val="36"/>
          <w:szCs w:val="36"/>
        </w:rPr>
      </w:pPr>
      <w:bookmarkStart w:id="0" w:name="OLE_LINK73"/>
    </w:p>
    <w:p w14:paraId="459BB94C">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方正小标宋简体" w:eastAsia="方正小标宋简体" w:cs="方正小标宋简体"/>
          <w:color w:val="auto"/>
          <w:sz w:val="36"/>
          <w:szCs w:val="36"/>
        </w:rPr>
      </w:pPr>
    </w:p>
    <w:p w14:paraId="53DBF03A">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行政处罚信息摘要</w:t>
      </w:r>
      <w:bookmarkEnd w:id="0"/>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03BEC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1BFA649C">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行政处罚决定书文号</w:t>
            </w:r>
          </w:p>
        </w:tc>
        <w:tc>
          <w:tcPr>
            <w:tcW w:w="4634" w:type="dxa"/>
            <w:noWrap w:val="0"/>
            <w:vAlign w:val="top"/>
          </w:tcPr>
          <w:p w14:paraId="4D603E29">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十四师市监处罚〔202</w:t>
            </w:r>
            <w:r>
              <w:rPr>
                <w:rFonts w:hint="eastAsia" w:ascii="Times New Roman" w:hAnsi="Times New Roman" w:eastAsia="仿宋_GB2312" w:cs="Times New Roman"/>
                <w:color w:val="auto"/>
                <w:sz w:val="24"/>
                <w:lang w:val="en-US" w:eastAsia="zh-CN"/>
              </w:rPr>
              <w:t>6</w:t>
            </w:r>
            <w:r>
              <w:rPr>
                <w:rFonts w:hint="default" w:ascii="Times New Roman" w:hAnsi="Times New Roman" w:eastAsia="仿宋_GB2312" w:cs="Times New Roman"/>
                <w:color w:val="auto"/>
                <w:sz w:val="24"/>
              </w:rPr>
              <w:t>〕</w:t>
            </w:r>
            <w:r>
              <w:rPr>
                <w:rFonts w:hint="eastAsia" w:ascii="Times New Roman" w:hAnsi="Times New Roman" w:eastAsia="仿宋_GB2312" w:cs="Times New Roman"/>
                <w:color w:val="auto"/>
                <w:sz w:val="24"/>
                <w:lang w:val="en-US" w:eastAsia="zh-CN"/>
              </w:rPr>
              <w:t>5</w:t>
            </w:r>
            <w:r>
              <w:rPr>
                <w:rFonts w:hint="default" w:ascii="Times New Roman" w:hAnsi="Times New Roman" w:eastAsia="仿宋_GB2312" w:cs="Times New Roman"/>
                <w:color w:val="auto"/>
                <w:sz w:val="24"/>
              </w:rPr>
              <w:t>号</w:t>
            </w:r>
          </w:p>
        </w:tc>
      </w:tr>
      <w:tr w14:paraId="180BC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765B96B8">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bdr w:val="single" w:color="auto" w:sz="4" w:space="0"/>
              </w:rPr>
            </w:pPr>
          </w:p>
          <w:p w14:paraId="252A5F24">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行政处罚当事人基本情况</w:t>
            </w:r>
          </w:p>
        </w:tc>
        <w:tc>
          <w:tcPr>
            <w:tcW w:w="954" w:type="dxa"/>
            <w:vMerge w:val="restart"/>
            <w:noWrap w:val="0"/>
            <w:vAlign w:val="center"/>
          </w:tcPr>
          <w:p w14:paraId="38462C34">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个人</w:t>
            </w:r>
          </w:p>
        </w:tc>
        <w:tc>
          <w:tcPr>
            <w:tcW w:w="1980" w:type="dxa"/>
            <w:noWrap w:val="0"/>
            <w:vAlign w:val="top"/>
          </w:tcPr>
          <w:p w14:paraId="02D4991A">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bdr w:val="single" w:color="auto" w:sz="4" w:space="0"/>
              </w:rPr>
            </w:pPr>
            <w:r>
              <w:rPr>
                <w:rFonts w:hint="default" w:ascii="Times New Roman" w:hAnsi="Times New Roman" w:eastAsia="仿宋_GB2312" w:cs="Times New Roman"/>
                <w:color w:val="auto"/>
                <w:sz w:val="24"/>
              </w:rPr>
              <w:t>姓名（名称）</w:t>
            </w:r>
          </w:p>
        </w:tc>
        <w:tc>
          <w:tcPr>
            <w:tcW w:w="4634" w:type="dxa"/>
            <w:noWrap w:val="0"/>
            <w:vAlign w:val="top"/>
          </w:tcPr>
          <w:p w14:paraId="4F4AA59E">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昆玉市玉园镇裕隆母婴用品商行</w:t>
            </w:r>
          </w:p>
        </w:tc>
      </w:tr>
      <w:tr w14:paraId="5B99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3086D970">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954" w:type="dxa"/>
            <w:vMerge w:val="continue"/>
            <w:noWrap w:val="0"/>
            <w:vAlign w:val="center"/>
          </w:tcPr>
          <w:p w14:paraId="0B59E5F7">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1980" w:type="dxa"/>
            <w:noWrap w:val="0"/>
            <w:vAlign w:val="top"/>
          </w:tcPr>
          <w:p w14:paraId="1607FDAA">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注册号</w:t>
            </w:r>
          </w:p>
        </w:tc>
        <w:tc>
          <w:tcPr>
            <w:tcW w:w="4634" w:type="dxa"/>
            <w:noWrap w:val="0"/>
            <w:vAlign w:val="top"/>
          </w:tcPr>
          <w:p w14:paraId="7F60F057">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92659009MA78RTDM6H</w:t>
            </w:r>
          </w:p>
        </w:tc>
      </w:tr>
      <w:tr w14:paraId="27E24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6C924306">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954" w:type="dxa"/>
            <w:vMerge w:val="restart"/>
            <w:noWrap w:val="0"/>
            <w:vAlign w:val="center"/>
          </w:tcPr>
          <w:p w14:paraId="3F699332">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单位</w:t>
            </w:r>
          </w:p>
        </w:tc>
        <w:tc>
          <w:tcPr>
            <w:tcW w:w="1980" w:type="dxa"/>
            <w:noWrap w:val="0"/>
            <w:vAlign w:val="top"/>
          </w:tcPr>
          <w:p w14:paraId="075CBD42">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名称</w:t>
            </w:r>
          </w:p>
        </w:tc>
        <w:tc>
          <w:tcPr>
            <w:tcW w:w="4634" w:type="dxa"/>
            <w:noWrap w:val="0"/>
            <w:vAlign w:val="center"/>
          </w:tcPr>
          <w:p w14:paraId="10DA6E2A">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w:t>
            </w:r>
          </w:p>
        </w:tc>
      </w:tr>
      <w:tr w14:paraId="412D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2FD675C1">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954" w:type="dxa"/>
            <w:vMerge w:val="continue"/>
            <w:noWrap w:val="0"/>
            <w:vAlign w:val="top"/>
          </w:tcPr>
          <w:p w14:paraId="09EADA92">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1980" w:type="dxa"/>
            <w:noWrap w:val="0"/>
            <w:vAlign w:val="top"/>
          </w:tcPr>
          <w:p w14:paraId="1222B9FD">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注册号</w:t>
            </w:r>
          </w:p>
        </w:tc>
        <w:tc>
          <w:tcPr>
            <w:tcW w:w="4634" w:type="dxa"/>
            <w:noWrap w:val="0"/>
            <w:vAlign w:val="center"/>
          </w:tcPr>
          <w:p w14:paraId="7FB78F62">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w:t>
            </w:r>
          </w:p>
        </w:tc>
      </w:tr>
      <w:tr w14:paraId="0BF0A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5B86967F">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954" w:type="dxa"/>
            <w:vMerge w:val="continue"/>
            <w:noWrap w:val="0"/>
            <w:vAlign w:val="top"/>
          </w:tcPr>
          <w:p w14:paraId="4ED8858D">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p>
        </w:tc>
        <w:tc>
          <w:tcPr>
            <w:tcW w:w="1980" w:type="dxa"/>
            <w:noWrap w:val="0"/>
            <w:vAlign w:val="top"/>
          </w:tcPr>
          <w:p w14:paraId="73A2A9BA">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法定代表人（负责人）姓名</w:t>
            </w:r>
          </w:p>
        </w:tc>
        <w:tc>
          <w:tcPr>
            <w:tcW w:w="4634" w:type="dxa"/>
            <w:noWrap w:val="0"/>
            <w:vAlign w:val="center"/>
          </w:tcPr>
          <w:p w14:paraId="63528530">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w:t>
            </w:r>
          </w:p>
        </w:tc>
      </w:tr>
      <w:tr w14:paraId="10112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3BE1494A">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违法行为类型</w:t>
            </w:r>
          </w:p>
        </w:tc>
        <w:tc>
          <w:tcPr>
            <w:tcW w:w="4634" w:type="dxa"/>
            <w:noWrap w:val="0"/>
            <w:vAlign w:val="top"/>
          </w:tcPr>
          <w:p w14:paraId="7D339E2C">
            <w:pPr>
              <w:widowControl/>
              <w:pBdr>
                <w:top w:val="none" w:color="auto" w:sz="0" w:space="1"/>
                <w:left w:val="none" w:color="auto" w:sz="0" w:space="4"/>
                <w:bottom w:val="none" w:color="auto" w:sz="0" w:space="1"/>
                <w:right w:val="none" w:color="auto" w:sz="0" w:space="4"/>
              </w:pBdr>
              <w:spacing w:line="400" w:lineRule="exact"/>
              <w:jc w:val="left"/>
              <w:rPr>
                <w:rFonts w:hint="default" w:ascii="Times New Roman" w:hAnsi="Times New Roman" w:eastAsia="仿宋_GB2312" w:cs="Times New Roman"/>
                <w:color w:val="auto"/>
                <w:sz w:val="24"/>
                <w:lang w:val="en-US" w:eastAsia="zh-CN"/>
              </w:rPr>
            </w:pPr>
            <w:r>
              <w:rPr>
                <w:rFonts w:hint="eastAsia" w:ascii="Times New Roman" w:hAnsi="Times New Roman" w:eastAsia="仿宋_GB2312" w:cs="Times New Roman"/>
                <w:color w:val="auto"/>
                <w:w w:val="98"/>
                <w:sz w:val="24"/>
                <w:szCs w:val="24"/>
                <w:highlight w:val="none"/>
                <w:lang w:val="en-US" w:eastAsia="zh-CN" w:bidi="ar-SA"/>
              </w:rPr>
              <w:t>销售商品未明码标价</w:t>
            </w:r>
          </w:p>
        </w:tc>
      </w:tr>
      <w:tr w14:paraId="1120D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4CB44DB9">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行政处罚内容</w:t>
            </w:r>
          </w:p>
        </w:tc>
        <w:tc>
          <w:tcPr>
            <w:tcW w:w="4634" w:type="dxa"/>
            <w:noWrap w:val="0"/>
            <w:vAlign w:val="top"/>
          </w:tcPr>
          <w:p w14:paraId="6AAE05A3">
            <w:pPr>
              <w:widowControl/>
              <w:pBdr>
                <w:top w:val="none" w:color="auto" w:sz="0" w:space="1"/>
                <w:left w:val="none" w:color="auto" w:sz="0" w:space="4"/>
                <w:bottom w:val="none" w:color="auto" w:sz="0" w:space="1"/>
                <w:right w:val="none" w:color="auto" w:sz="0" w:space="4"/>
              </w:pBdr>
              <w:spacing w:line="400" w:lineRule="exact"/>
              <w:jc w:val="left"/>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w w:val="98"/>
                <w:sz w:val="24"/>
                <w:szCs w:val="24"/>
                <w:highlight w:val="none"/>
                <w:lang w:val="en-US" w:eastAsia="zh-CN" w:bidi="ar-SA"/>
              </w:rPr>
              <w:t>对当事人销售商品未明码标价的违法行为给予</w:t>
            </w:r>
            <w:r>
              <w:rPr>
                <w:rFonts w:hint="eastAsia" w:ascii="Times New Roman" w:hAnsi="Times New Roman" w:eastAsia="仿宋_GB2312" w:cs="Times New Roman"/>
                <w:color w:val="auto"/>
                <w:w w:val="98"/>
                <w:sz w:val="24"/>
                <w:szCs w:val="24"/>
                <w:highlight w:val="none"/>
                <w:lang w:val="en-US" w:eastAsia="zh-CN" w:bidi="ar-SA"/>
              </w:rPr>
              <w:t>罚款750元。</w:t>
            </w:r>
          </w:p>
        </w:tc>
      </w:tr>
      <w:tr w14:paraId="0265A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388CF4A7">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作出行政处罚决定机关名称</w:t>
            </w:r>
          </w:p>
        </w:tc>
        <w:tc>
          <w:tcPr>
            <w:tcW w:w="4634" w:type="dxa"/>
            <w:noWrap w:val="0"/>
            <w:vAlign w:val="top"/>
          </w:tcPr>
          <w:p w14:paraId="6124A0DB">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第十四师市场监督管理局</w:t>
            </w:r>
          </w:p>
        </w:tc>
      </w:tr>
      <w:tr w14:paraId="70E4E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1551D852">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作出行政处罚决定日期</w:t>
            </w:r>
          </w:p>
        </w:tc>
        <w:tc>
          <w:tcPr>
            <w:tcW w:w="4634" w:type="dxa"/>
            <w:noWrap w:val="0"/>
            <w:vAlign w:val="top"/>
          </w:tcPr>
          <w:p w14:paraId="0C14F423">
            <w:pPr>
              <w:widowControl/>
              <w:pBdr>
                <w:top w:val="none" w:color="auto" w:sz="0" w:space="1"/>
                <w:left w:val="none" w:color="auto" w:sz="0" w:space="4"/>
                <w:bottom w:val="none" w:color="auto" w:sz="0" w:space="1"/>
                <w:right w:val="none" w:color="auto" w:sz="0" w:space="4"/>
              </w:pBdr>
              <w:spacing w:line="400" w:lineRule="exact"/>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202</w:t>
            </w:r>
            <w:r>
              <w:rPr>
                <w:rFonts w:hint="eastAsia" w:ascii="Times New Roman" w:hAnsi="Times New Roman" w:eastAsia="仿宋_GB2312" w:cs="Times New Roman"/>
                <w:color w:val="auto"/>
                <w:sz w:val="24"/>
                <w:lang w:val="en-US" w:eastAsia="zh-CN"/>
              </w:rPr>
              <w:t>6</w:t>
            </w:r>
            <w:r>
              <w:rPr>
                <w:rFonts w:hint="default" w:ascii="Times New Roman" w:hAnsi="Times New Roman" w:eastAsia="仿宋_GB2312" w:cs="Times New Roman"/>
                <w:color w:val="auto"/>
                <w:sz w:val="24"/>
                <w:lang w:val="en-US" w:eastAsia="zh-CN"/>
              </w:rPr>
              <w:t>年</w:t>
            </w:r>
            <w:r>
              <w:rPr>
                <w:rFonts w:hint="eastAsia" w:ascii="Times New Roman" w:hAnsi="Times New Roman" w:eastAsia="仿宋_GB2312" w:cs="Times New Roman"/>
                <w:color w:val="auto"/>
                <w:sz w:val="24"/>
                <w:lang w:val="en-US" w:eastAsia="zh-CN"/>
              </w:rPr>
              <w:t>1</w:t>
            </w:r>
            <w:r>
              <w:rPr>
                <w:rFonts w:hint="default" w:ascii="Times New Roman" w:hAnsi="Times New Roman" w:eastAsia="仿宋_GB2312" w:cs="Times New Roman"/>
                <w:color w:val="auto"/>
                <w:sz w:val="24"/>
                <w:lang w:val="en-US" w:eastAsia="zh-CN"/>
              </w:rPr>
              <w:t>月</w:t>
            </w:r>
            <w:r>
              <w:rPr>
                <w:rFonts w:hint="eastAsia" w:ascii="Times New Roman" w:hAnsi="Times New Roman" w:eastAsia="仿宋_GB2312" w:cs="Times New Roman"/>
                <w:color w:val="auto"/>
                <w:sz w:val="24"/>
                <w:lang w:val="en-US" w:eastAsia="zh-CN"/>
              </w:rPr>
              <w:t>21</w:t>
            </w:r>
            <w:r>
              <w:rPr>
                <w:rFonts w:hint="default" w:ascii="Times New Roman" w:hAnsi="Times New Roman" w:eastAsia="仿宋_GB2312" w:cs="Times New Roman"/>
                <w:color w:val="auto"/>
                <w:sz w:val="24"/>
                <w:lang w:val="en-US" w:eastAsia="zh-CN"/>
              </w:rPr>
              <w:t>日</w:t>
            </w:r>
          </w:p>
        </w:tc>
      </w:tr>
    </w:tbl>
    <w:p w14:paraId="7F0E3012">
      <w:pPr>
        <w:keepNext w:val="0"/>
        <w:keepLines w:val="0"/>
        <w:pageBreakBefore w:val="0"/>
        <w:widowControl w:val="0"/>
        <w:tabs>
          <w:tab w:val="left" w:pos="3518"/>
        </w:tabs>
        <w:bidi w:val="0"/>
        <w:snapToGrid w:val="0"/>
        <w:spacing w:line="540" w:lineRule="exact"/>
        <w:ind w:firstLine="1746"/>
        <w:rPr>
          <w:rFonts w:hint="default" w:ascii="Times New Roman" w:hAnsi="Times New Roman" w:eastAsia="方正小标宋简体" w:cs="Times New Roman"/>
          <w:color w:val="auto"/>
          <w:spacing w:val="-2"/>
          <w:sz w:val="44"/>
          <w:szCs w:val="44"/>
          <w:highlight w:val="none"/>
        </w:rPr>
      </w:pPr>
    </w:p>
    <w:p w14:paraId="57D937D6">
      <w:pPr>
        <w:pStyle w:val="2"/>
        <w:rPr>
          <w:rFonts w:hint="default" w:ascii="Times New Roman" w:hAnsi="Times New Roman" w:eastAsia="方正小标宋简体" w:cs="Times New Roman"/>
          <w:color w:val="auto"/>
          <w:spacing w:val="-2"/>
          <w:sz w:val="44"/>
          <w:szCs w:val="44"/>
          <w:highlight w:val="none"/>
        </w:rPr>
      </w:pPr>
    </w:p>
    <w:p w14:paraId="38A5920E">
      <w:pPr>
        <w:pStyle w:val="2"/>
        <w:rPr>
          <w:rFonts w:hint="default" w:ascii="Times New Roman" w:hAnsi="Times New Roman" w:eastAsia="方正小标宋简体" w:cs="Times New Roman"/>
          <w:color w:val="auto"/>
          <w:spacing w:val="-2"/>
          <w:sz w:val="44"/>
          <w:szCs w:val="44"/>
          <w:highlight w:val="none"/>
        </w:rPr>
      </w:pPr>
    </w:p>
    <w:p w14:paraId="2DD19520">
      <w:pPr>
        <w:keepNext w:val="0"/>
        <w:keepLines w:val="0"/>
        <w:pageBreakBefore w:val="0"/>
        <w:widowControl w:val="0"/>
        <w:tabs>
          <w:tab w:val="left" w:pos="3518"/>
        </w:tabs>
        <w:bidi w:val="0"/>
        <w:snapToGrid w:val="0"/>
        <w:spacing w:line="540" w:lineRule="exact"/>
        <w:ind w:firstLine="1746"/>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第十四师市场监督管理局</w:t>
      </w:r>
    </w:p>
    <w:p w14:paraId="515DBD97">
      <w:pPr>
        <w:keepNext w:val="0"/>
        <w:keepLines w:val="0"/>
        <w:pageBreakBefore w:val="0"/>
        <w:widowControl w:val="0"/>
        <w:bidi w:val="0"/>
        <w:snapToGrid w:val="0"/>
        <w:spacing w:line="540" w:lineRule="exact"/>
        <w:ind w:firstLine="2637"/>
        <w:rPr>
          <w:rFonts w:hint="default" w:ascii="Times New Roman" w:hAnsi="Times New Roman" w:eastAsia="方正小标宋简体" w:cs="Times New Roman"/>
          <w:color w:val="auto"/>
          <w:spacing w:val="-2"/>
          <w:sz w:val="44"/>
          <w:szCs w:val="44"/>
          <w:highlight w:val="none"/>
        </w:rPr>
      </w:pPr>
      <w:r>
        <w:rPr>
          <w:rFonts w:hint="default" w:ascii="Times New Roman" w:hAnsi="Times New Roman" w:eastAsia="方正小标宋简体" w:cs="Times New Roman"/>
          <w:color w:val="auto"/>
          <w:spacing w:val="-2"/>
          <w:sz w:val="44"/>
          <w:szCs w:val="44"/>
          <w:highlight w:val="none"/>
        </w:rPr>
        <w:t>行政处罚决定书</w:t>
      </w:r>
    </w:p>
    <w:p w14:paraId="33A45141">
      <w:pPr>
        <w:keepNext w:val="0"/>
        <w:keepLines w:val="0"/>
        <w:pageBreakBefore w:val="0"/>
        <w:widowControl w:val="0"/>
        <w:bidi w:val="0"/>
        <w:snapToGrid w:val="0"/>
        <w:spacing w:line="540" w:lineRule="exact"/>
        <w:jc w:val="center"/>
        <w:rPr>
          <w:rFonts w:hint="default" w:ascii="Times New Roman" w:hAnsi="Times New Roman" w:eastAsia="仿宋_GB2312" w:cs="Times New Roman"/>
          <w:color w:val="auto"/>
          <w:spacing w:val="-7"/>
          <w:sz w:val="32"/>
          <w:szCs w:val="32"/>
          <w:highlight w:val="none"/>
        </w:rPr>
      </w:pPr>
      <w:r>
        <w:rPr>
          <w:rFonts w:hint="default" w:ascii="Times New Roman" w:hAnsi="Times New Roman" w:eastAsia="仿宋_GB2312" w:cs="Times New Roman"/>
          <w:color w:val="auto"/>
          <w:spacing w:val="-7"/>
          <w:sz w:val="32"/>
          <w:szCs w:val="32"/>
          <w:highlight w:val="none"/>
        </w:rPr>
        <w:t>十四师市监处罚〔</w:t>
      </w:r>
      <w:r>
        <w:rPr>
          <w:rFonts w:hint="default" w:ascii="Times New Roman" w:hAnsi="Times New Roman" w:eastAsia="仿宋_GB2312" w:cs="Times New Roman"/>
          <w:color w:val="auto"/>
          <w:spacing w:val="18"/>
          <w:sz w:val="32"/>
          <w:szCs w:val="32"/>
          <w:highlight w:val="none"/>
          <w:u w:val="single"/>
        </w:rPr>
        <w:t>202</w:t>
      </w:r>
      <w:r>
        <w:rPr>
          <w:rFonts w:hint="eastAsia" w:ascii="Times New Roman" w:hAnsi="Times New Roman" w:eastAsia="仿宋_GB2312" w:cs="Times New Roman"/>
          <w:color w:val="auto"/>
          <w:spacing w:val="18"/>
          <w:sz w:val="32"/>
          <w:szCs w:val="32"/>
          <w:highlight w:val="none"/>
          <w:u w:val="single"/>
          <w:lang w:val="en-US" w:eastAsia="zh-CN"/>
        </w:rPr>
        <w:t>6</w:t>
      </w:r>
      <w:r>
        <w:rPr>
          <w:rFonts w:hint="default"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lang w:val="en-US" w:eastAsia="zh-CN"/>
        </w:rPr>
        <w:t>5</w:t>
      </w:r>
      <w:r>
        <w:rPr>
          <w:rFonts w:hint="default" w:ascii="Times New Roman" w:hAnsi="Times New Roman" w:eastAsia="仿宋_GB2312" w:cs="Times New Roman"/>
          <w:color w:val="auto"/>
          <w:spacing w:val="-7"/>
          <w:sz w:val="32"/>
          <w:szCs w:val="32"/>
          <w:highlight w:val="none"/>
        </w:rPr>
        <w:t>号</w:t>
      </w:r>
    </w:p>
    <w:p w14:paraId="5B091465">
      <w:pPr>
        <w:keepNext w:val="0"/>
        <w:keepLines w:val="0"/>
        <w:pageBreakBefore w:val="0"/>
        <w:widowControl w:val="0"/>
        <w:bidi w:val="0"/>
        <w:snapToGrid w:val="0"/>
        <w:spacing w:line="540" w:lineRule="exact"/>
        <w:rPr>
          <w:rFonts w:hint="default" w:ascii="Times New Roman" w:hAnsi="Times New Roman" w:eastAsia="仿宋_GB2312" w:cs="Times New Roman"/>
          <w:color w:val="auto"/>
          <w:sz w:val="32"/>
          <w:szCs w:val="32"/>
          <w:highlight w:val="none"/>
          <w:u w:val="single" w:color="auto"/>
          <w:lang w:val="en-US"/>
        </w:rPr>
      </w:pPr>
      <w:r>
        <w:rPr>
          <w:rFonts w:hint="default" w:ascii="Times New Roman" w:hAnsi="Times New Roman" w:eastAsia="仿宋_GB2312" w:cs="Times New Roman"/>
          <w:color w:val="auto"/>
          <w:spacing w:val="-7"/>
          <w:sz w:val="32"/>
          <w:szCs w:val="32"/>
          <w:highlight w:val="none"/>
          <w:u w:val="none" w:color="auto"/>
        </w:rPr>
        <w:t>当事人</w:t>
      </w:r>
      <w:r>
        <w:rPr>
          <w:rFonts w:hint="default" w:ascii="Times New Roman" w:hAnsi="Times New Roman" w:eastAsia="仿宋_GB2312" w:cs="Times New Roman"/>
          <w:color w:val="auto"/>
          <w:spacing w:val="-7"/>
          <w:sz w:val="32"/>
          <w:szCs w:val="32"/>
          <w:highlight w:val="none"/>
          <w:u w:val="none" w:color="auto"/>
          <w:lang w:eastAsia="zh-CN"/>
        </w:rPr>
        <w:t>名称</w:t>
      </w:r>
      <w:r>
        <w:rPr>
          <w:rFonts w:hint="default" w:ascii="Times New Roman" w:hAnsi="Times New Roman" w:eastAsia="仿宋_GB2312" w:cs="Times New Roman"/>
          <w:color w:val="auto"/>
          <w:spacing w:val="-7"/>
          <w:sz w:val="32"/>
          <w:szCs w:val="32"/>
          <w:highlight w:val="none"/>
          <w:u w:val="none" w:color="auto"/>
        </w:rPr>
        <w:t>：</w:t>
      </w:r>
      <w:r>
        <w:rPr>
          <w:rFonts w:hint="default" w:ascii="Times New Roman" w:hAnsi="Times New Roman" w:eastAsia="仿宋_GB2312" w:cs="Times New Roman"/>
          <w:color w:val="auto"/>
          <w:spacing w:val="-7"/>
          <w:sz w:val="32"/>
          <w:szCs w:val="32"/>
          <w:highlight w:val="none"/>
          <w:u w:val="single" w:color="auto"/>
          <w:lang w:val="en-US" w:eastAsia="zh-CN"/>
        </w:rPr>
        <w:t>昆玉市玉园镇裕隆母婴用品商行</w:t>
      </w:r>
      <w:r>
        <w:rPr>
          <w:rFonts w:hint="eastAsia" w:ascii="Times New Roman" w:hAnsi="Times New Roman" w:eastAsia="仿宋_GB2312" w:cs="Times New Roman"/>
          <w:color w:val="auto"/>
          <w:spacing w:val="-7"/>
          <w:sz w:val="32"/>
          <w:szCs w:val="32"/>
          <w:highlight w:val="none"/>
          <w:u w:val="single" w:color="auto"/>
          <w:lang w:val="en-US" w:eastAsia="zh-CN"/>
        </w:rPr>
        <w:t xml:space="preserve">               </w:t>
      </w:r>
    </w:p>
    <w:p w14:paraId="177A0954">
      <w:pPr>
        <w:keepNext w:val="0"/>
        <w:keepLines w:val="0"/>
        <w:pageBreakBefore w:val="0"/>
        <w:widowControl w:val="0"/>
        <w:bidi w:val="0"/>
        <w:snapToGrid w:val="0"/>
        <w:spacing w:line="540" w:lineRule="exact"/>
        <w:rPr>
          <w:rFonts w:hint="default" w:ascii="Times New Roman" w:hAnsi="Times New Roman" w:eastAsia="仿宋_GB2312" w:cs="Times New Roman"/>
          <w:color w:val="auto"/>
          <w:spacing w:val="19"/>
          <w:sz w:val="32"/>
          <w:szCs w:val="32"/>
          <w:highlight w:val="none"/>
          <w:u w:val="none" w:color="auto"/>
          <w:lang w:val="en-US" w:eastAsia="zh-CN"/>
        </w:rPr>
      </w:pPr>
      <w:r>
        <w:rPr>
          <w:rFonts w:hint="default" w:ascii="Times New Roman" w:hAnsi="Times New Roman" w:eastAsia="仿宋_GB2312" w:cs="Times New Roman"/>
          <w:color w:val="auto"/>
          <w:spacing w:val="-7"/>
          <w:sz w:val="32"/>
          <w:szCs w:val="32"/>
          <w:highlight w:val="none"/>
          <w:u w:val="none" w:color="auto"/>
        </w:rPr>
        <w:t>主体资格证照名称：</w:t>
      </w:r>
      <w:r>
        <w:rPr>
          <w:rFonts w:hint="default" w:ascii="Times New Roman" w:hAnsi="Times New Roman" w:eastAsia="仿宋_GB2312" w:cs="Times New Roman"/>
          <w:color w:val="auto"/>
          <w:spacing w:val="1"/>
          <w:sz w:val="32"/>
          <w:szCs w:val="32"/>
          <w:highlight w:val="none"/>
          <w:u w:val="single" w:color="auto"/>
        </w:rPr>
        <w:t>营业执照</w:t>
      </w:r>
      <w:r>
        <w:rPr>
          <w:rFonts w:hint="eastAsia" w:ascii="Times New Roman" w:hAnsi="Times New Roman" w:eastAsia="仿宋_GB2312" w:cs="Times New Roman"/>
          <w:color w:val="auto"/>
          <w:spacing w:val="1"/>
          <w:sz w:val="32"/>
          <w:szCs w:val="32"/>
          <w:highlight w:val="none"/>
          <w:u w:val="single" w:color="auto"/>
          <w:lang w:val="en-US" w:eastAsia="zh-CN"/>
        </w:rPr>
        <w:t xml:space="preserve">                           </w:t>
      </w:r>
    </w:p>
    <w:p w14:paraId="592FE436">
      <w:pPr>
        <w:keepNext w:val="0"/>
        <w:keepLines w:val="0"/>
        <w:pageBreakBefore w:val="0"/>
        <w:widowControl w:val="0"/>
        <w:bidi w:val="0"/>
        <w:snapToGrid w:val="0"/>
        <w:spacing w:line="540" w:lineRule="exact"/>
        <w:rPr>
          <w:rFonts w:hint="default" w:ascii="Times New Roman" w:hAnsi="Times New Roman" w:eastAsia="仿宋_GB2312" w:cs="Times New Roman"/>
          <w:color w:val="auto"/>
          <w:spacing w:val="19"/>
          <w:sz w:val="32"/>
          <w:szCs w:val="32"/>
          <w:highlight w:val="none"/>
          <w:u w:val="none" w:color="auto"/>
          <w:lang w:val="en-US" w:eastAsia="zh-CN"/>
        </w:rPr>
      </w:pPr>
      <w:r>
        <w:rPr>
          <w:rFonts w:hint="default" w:ascii="Times New Roman" w:hAnsi="Times New Roman" w:eastAsia="仿宋_GB2312" w:cs="Times New Roman"/>
          <w:color w:val="auto"/>
          <w:spacing w:val="-7"/>
          <w:sz w:val="32"/>
          <w:szCs w:val="32"/>
          <w:highlight w:val="none"/>
          <w:u w:val="none" w:color="auto"/>
        </w:rPr>
        <w:t>统一社会信用代码：</w:t>
      </w:r>
      <w:r>
        <w:rPr>
          <w:rFonts w:hint="default" w:ascii="Times New Roman" w:hAnsi="Times New Roman" w:eastAsia="仿宋_GB2312" w:cs="Times New Roman"/>
          <w:color w:val="auto"/>
          <w:spacing w:val="-7"/>
          <w:sz w:val="32"/>
          <w:szCs w:val="32"/>
          <w:highlight w:val="none"/>
          <w:u w:val="single" w:color="auto"/>
          <w:lang w:val="en-US" w:eastAsia="zh-CN"/>
        </w:rPr>
        <w:t>92659009MA78RTDM6H</w:t>
      </w:r>
      <w:r>
        <w:rPr>
          <w:rFonts w:hint="eastAsia" w:ascii="Times New Roman" w:hAnsi="Times New Roman" w:eastAsia="仿宋_GB2312" w:cs="Times New Roman"/>
          <w:color w:val="auto"/>
          <w:spacing w:val="-7"/>
          <w:sz w:val="32"/>
          <w:szCs w:val="32"/>
          <w:highlight w:val="none"/>
          <w:u w:val="single" w:color="auto"/>
          <w:lang w:val="en-US" w:eastAsia="zh-CN"/>
        </w:rPr>
        <w:t xml:space="preserve">                  </w:t>
      </w:r>
    </w:p>
    <w:p w14:paraId="1CCC87A0">
      <w:pPr>
        <w:keepNext w:val="0"/>
        <w:keepLines w:val="0"/>
        <w:pageBreakBefore w:val="0"/>
        <w:widowControl w:val="0"/>
        <w:kinsoku w:val="0"/>
        <w:wordWrap/>
        <w:overflowPunct/>
        <w:topLinePunct w:val="0"/>
        <w:autoSpaceDE w:val="0"/>
        <w:autoSpaceDN w:val="0"/>
        <w:bidi w:val="0"/>
        <w:adjustRightInd w:val="0"/>
        <w:snapToGrid w:val="0"/>
        <w:spacing w:line="540" w:lineRule="exact"/>
        <w:textAlignment w:val="auto"/>
        <w:rPr>
          <w:rFonts w:hint="default" w:ascii="Times New Roman" w:hAnsi="Times New Roman" w:eastAsia="仿宋_GB2312" w:cs="Times New Roman"/>
          <w:color w:val="auto"/>
          <w:spacing w:val="-6"/>
          <w:sz w:val="32"/>
          <w:szCs w:val="32"/>
          <w:highlight w:val="none"/>
          <w:u w:val="none" w:color="auto"/>
          <w:lang w:val="en-US" w:eastAsia="zh-CN"/>
        </w:rPr>
      </w:pPr>
      <w:r>
        <w:rPr>
          <w:rFonts w:hint="eastAsia" w:ascii="Times New Roman" w:hAnsi="Times New Roman" w:eastAsia="仿宋_GB2312" w:cs="Times New Roman"/>
          <w:color w:val="auto"/>
          <w:spacing w:val="-17"/>
          <w:sz w:val="32"/>
          <w:szCs w:val="32"/>
          <w:highlight w:val="none"/>
          <w:u w:val="none" w:color="auto"/>
          <w:lang w:val="en-US" w:eastAsia="zh-CN"/>
        </w:rPr>
        <w:t>经营场所</w:t>
      </w:r>
      <w:r>
        <w:rPr>
          <w:rFonts w:hint="default" w:ascii="Times New Roman" w:hAnsi="Times New Roman" w:eastAsia="仿宋_GB2312" w:cs="Times New Roman"/>
          <w:color w:val="auto"/>
          <w:spacing w:val="-17"/>
          <w:sz w:val="32"/>
          <w:szCs w:val="32"/>
          <w:highlight w:val="none"/>
          <w:u w:val="none" w:color="auto"/>
        </w:rPr>
        <w:t>：</w:t>
      </w:r>
      <w:r>
        <w:rPr>
          <w:rFonts w:hint="default" w:ascii="Times New Roman" w:hAnsi="Times New Roman" w:eastAsia="仿宋_GB2312" w:cs="Times New Roman"/>
          <w:color w:val="auto"/>
          <w:spacing w:val="-17"/>
          <w:sz w:val="32"/>
          <w:szCs w:val="32"/>
          <w:highlight w:val="none"/>
          <w:u w:val="single" w:color="auto"/>
          <w:lang w:val="en-US" w:eastAsia="zh-CN"/>
        </w:rPr>
        <w:t>新疆昆玉市迎宾路天翔小区商业街17号</w:t>
      </w:r>
      <w:r>
        <w:rPr>
          <w:rFonts w:hint="eastAsia" w:ascii="Times New Roman" w:hAnsi="Times New Roman" w:eastAsia="仿宋_GB2312" w:cs="Times New Roman"/>
          <w:color w:val="auto"/>
          <w:spacing w:val="-17"/>
          <w:sz w:val="32"/>
          <w:szCs w:val="32"/>
          <w:highlight w:val="none"/>
          <w:u w:val="single" w:color="auto"/>
          <w:lang w:val="en-US" w:eastAsia="zh-CN"/>
        </w:rPr>
        <w:t xml:space="preserve">                 </w:t>
      </w:r>
    </w:p>
    <w:p w14:paraId="3B577AC5">
      <w:pPr>
        <w:keepNext w:val="0"/>
        <w:keepLines w:val="0"/>
        <w:pageBreakBefore w:val="0"/>
        <w:kinsoku w:val="0"/>
        <w:wordWrap/>
        <w:overflowPunct/>
        <w:topLinePunct w:val="0"/>
        <w:autoSpaceDE w:val="0"/>
        <w:autoSpaceDN w:val="0"/>
        <w:bidi w:val="0"/>
        <w:adjustRightInd w:val="0"/>
        <w:snapToGrid w:val="0"/>
        <w:spacing w:line="540" w:lineRule="exact"/>
        <w:jc w:val="left"/>
        <w:textAlignment w:val="auto"/>
        <w:rPr>
          <w:rFonts w:hint="default" w:ascii="Times New Roman" w:hAnsi="Times New Roman" w:eastAsia="仿宋_GB2312" w:cs="Times New Roman"/>
          <w:color w:val="auto"/>
          <w:spacing w:val="-7"/>
          <w:sz w:val="32"/>
          <w:szCs w:val="32"/>
          <w:highlight w:val="none"/>
          <w:u w:val="single" w:color="auto"/>
          <w:lang w:val="en-US" w:eastAsia="zh-CN"/>
        </w:rPr>
      </w:pPr>
      <w:r>
        <w:rPr>
          <w:rFonts w:hint="eastAsia" w:ascii="Times New Roman" w:hAnsi="Times New Roman" w:eastAsia="仿宋_GB2312" w:cs="Times New Roman"/>
          <w:color w:val="auto"/>
          <w:sz w:val="32"/>
          <w:szCs w:val="32"/>
          <w:highlight w:val="none"/>
          <w:lang w:val="en-US" w:eastAsia="zh-CN"/>
        </w:rPr>
        <w:t>经营者：</w:t>
      </w:r>
      <w:r>
        <w:rPr>
          <w:rFonts w:hint="default" w:ascii="Times New Roman" w:hAnsi="Times New Roman" w:eastAsia="仿宋_GB2312" w:cs="Times New Roman"/>
          <w:color w:val="auto"/>
          <w:spacing w:val="0"/>
          <w:sz w:val="32"/>
          <w:szCs w:val="32"/>
          <w:highlight w:val="none"/>
          <w:u w:val="single"/>
          <w:lang w:val="en-US" w:eastAsia="zh-CN"/>
        </w:rPr>
        <w:t>常朝洋</w:t>
      </w:r>
      <w:r>
        <w:rPr>
          <w:rFonts w:hint="eastAsia" w:ascii="Times New Roman" w:hAnsi="Times New Roman" w:eastAsia="仿宋_GB2312" w:cs="Times New Roman"/>
          <w:color w:val="auto"/>
          <w:spacing w:val="0"/>
          <w:sz w:val="32"/>
          <w:szCs w:val="32"/>
          <w:highlight w:val="none"/>
          <w:u w:val="single"/>
          <w:lang w:val="en-US" w:eastAsia="zh-CN"/>
        </w:rPr>
        <w:t xml:space="preserve">                                       </w:t>
      </w:r>
    </w:p>
    <w:p w14:paraId="4B3CFB12">
      <w:pPr>
        <w:pStyle w:val="2"/>
        <w:keepNext w:val="0"/>
        <w:keepLines w:val="0"/>
        <w:pageBreakBefore w:val="0"/>
        <w:widowControl w:val="0"/>
        <w:kinsoku/>
        <w:wordWrap/>
        <w:overflowPunct w:val="0"/>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2025年12月19日，我局收到兵团96359便民服务热线匿名举报一份，工单编号为DH20251218BT02437，举报称2025年12月18日，举报人在当事人店内发现所有商品都没有明码标价的问题。</w:t>
      </w:r>
    </w:p>
    <w:p w14:paraId="787C6FCC">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2025年12月19日，我局执法人员对举报反映的情况进行现场核查，经核查，在当事人销售区发现旗帜牌旗帜帜萃较大婴儿配方奶粉2段（6-12月龄）、飞鹤牌咩咩加护婴儿配方羊奶粉（0-6月龄1段）、宜品牌欧士达婴儿配方羊奶粉1段（0-6月龄）等18种商品未明码标价。</w:t>
      </w:r>
    </w:p>
    <w:p w14:paraId="50AFF8F3">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为进一步查明事实，我局于2025年12月23日立案调查。</w:t>
      </w:r>
    </w:p>
    <w:p w14:paraId="315AD944">
      <w:pPr>
        <w:pStyle w:val="2"/>
        <w:keepNext w:val="0"/>
        <w:keepLines w:val="0"/>
        <w:pageBreakBefore w:val="0"/>
        <w:widowControl w:val="0"/>
        <w:kinsoku/>
        <w:wordWrap/>
        <w:overflowPunct w:val="0"/>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default" w:ascii="Times New Roman" w:hAnsi="Times New Roman" w:eastAsia="仿宋_GB2312" w:cs="Times New Roman"/>
          <w:color w:val="auto"/>
          <w:spacing w:val="0"/>
          <w:w w:val="100"/>
          <w:sz w:val="32"/>
          <w:szCs w:val="32"/>
          <w:highlight w:val="none"/>
          <w:u w:val="none"/>
          <w:lang w:val="en-US" w:eastAsia="zh-CN"/>
        </w:rPr>
        <w:t>由于当事人</w:t>
      </w:r>
      <w:r>
        <w:rPr>
          <w:rFonts w:hint="eastAsia" w:ascii="Times New Roman" w:hAnsi="Times New Roman" w:eastAsia="仿宋_GB2312" w:cs="Times New Roman"/>
          <w:color w:val="auto"/>
          <w:spacing w:val="0"/>
          <w:w w:val="100"/>
          <w:sz w:val="32"/>
          <w:szCs w:val="32"/>
          <w:highlight w:val="none"/>
          <w:u w:val="none"/>
          <w:lang w:val="en-US" w:eastAsia="zh-CN"/>
        </w:rPr>
        <w:t>经营者常朝洋长期不在店内经营</w:t>
      </w:r>
      <w:r>
        <w:rPr>
          <w:rFonts w:hint="default" w:ascii="Times New Roman" w:hAnsi="Times New Roman" w:eastAsia="仿宋_GB2312" w:cs="Times New Roman"/>
          <w:color w:val="auto"/>
          <w:spacing w:val="0"/>
          <w:w w:val="100"/>
          <w:sz w:val="32"/>
          <w:szCs w:val="32"/>
          <w:highlight w:val="none"/>
          <w:u w:val="none"/>
          <w:lang w:val="en-US" w:eastAsia="zh-CN"/>
        </w:rPr>
        <w:t>，故</w:t>
      </w:r>
      <w:r>
        <w:rPr>
          <w:rFonts w:hint="eastAsia" w:ascii="Times New Roman" w:hAnsi="Times New Roman" w:eastAsia="仿宋_GB2312" w:cs="Times New Roman"/>
          <w:color w:val="auto"/>
          <w:spacing w:val="0"/>
          <w:w w:val="100"/>
          <w:sz w:val="32"/>
          <w:szCs w:val="32"/>
          <w:highlight w:val="none"/>
          <w:u w:val="none"/>
          <w:lang w:val="en-US" w:eastAsia="zh-CN"/>
        </w:rPr>
        <w:t>于2025年12月21日</w:t>
      </w:r>
      <w:r>
        <w:rPr>
          <w:rFonts w:hint="default" w:ascii="Times New Roman" w:hAnsi="Times New Roman" w:eastAsia="仿宋_GB2312" w:cs="Times New Roman"/>
          <w:color w:val="auto"/>
          <w:spacing w:val="0"/>
          <w:w w:val="100"/>
          <w:sz w:val="32"/>
          <w:szCs w:val="32"/>
          <w:highlight w:val="none"/>
          <w:u w:val="none"/>
          <w:lang w:val="en-US" w:eastAsia="zh-CN"/>
        </w:rPr>
        <w:t>委托</w:t>
      </w:r>
      <w:r>
        <w:rPr>
          <w:rFonts w:hint="eastAsia" w:ascii="Times New Roman" w:hAnsi="Times New Roman" w:eastAsia="仿宋_GB2312" w:cs="Times New Roman"/>
          <w:color w:val="auto"/>
          <w:spacing w:val="0"/>
          <w:w w:val="100"/>
          <w:sz w:val="32"/>
          <w:szCs w:val="32"/>
          <w:highlight w:val="none"/>
          <w:u w:val="none"/>
          <w:lang w:val="en-US" w:eastAsia="zh-CN"/>
        </w:rPr>
        <w:t>其员工侯小利</w:t>
      </w:r>
      <w:r>
        <w:rPr>
          <w:rFonts w:hint="default" w:ascii="Times New Roman" w:hAnsi="Times New Roman" w:eastAsia="仿宋_GB2312" w:cs="Times New Roman"/>
          <w:color w:val="auto"/>
          <w:spacing w:val="0"/>
          <w:w w:val="100"/>
          <w:sz w:val="32"/>
          <w:szCs w:val="32"/>
          <w:highlight w:val="none"/>
          <w:u w:val="none"/>
          <w:lang w:val="en-US" w:eastAsia="zh-CN"/>
        </w:rPr>
        <w:t>全权配合调查，并出具授权委托书。</w:t>
      </w:r>
    </w:p>
    <w:p w14:paraId="38EE0F3C">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2025年12月19日，</w:t>
      </w:r>
      <w:r>
        <w:rPr>
          <w:rFonts w:hint="default" w:ascii="Times New Roman" w:hAnsi="Times New Roman" w:eastAsia="仿宋_GB2312" w:cs="Times New Roman"/>
          <w:color w:val="auto"/>
          <w:spacing w:val="0"/>
          <w:w w:val="100"/>
          <w:sz w:val="32"/>
          <w:szCs w:val="32"/>
          <w:highlight w:val="none"/>
          <w:u w:val="none"/>
          <w:lang w:val="en-US" w:eastAsia="zh-CN"/>
        </w:rPr>
        <w:t>我局执法人员在当事人门店内开展现场检查，同时制作现场笔录</w:t>
      </w:r>
      <w:r>
        <w:rPr>
          <w:rFonts w:hint="eastAsia" w:ascii="Times New Roman" w:hAnsi="Times New Roman" w:eastAsia="仿宋_GB2312" w:cs="Times New Roman"/>
          <w:color w:val="auto"/>
          <w:spacing w:val="0"/>
          <w:w w:val="100"/>
          <w:sz w:val="32"/>
          <w:szCs w:val="32"/>
          <w:highlight w:val="none"/>
          <w:u w:val="none"/>
          <w:lang w:val="en-US" w:eastAsia="zh-CN"/>
        </w:rPr>
        <w:t>一份，检查过程中，全程开启执法记录仪摄像记录。2025年12月23日，我局执法人员依法对当事人被委托人侯小利进行询问调查并制作询问笔录1份。调查过程中我局执法人员依照法定程序提取、拍摄、制作证据材料，并使用执法记录仪全程摄像记录。</w:t>
      </w:r>
    </w:p>
    <w:p w14:paraId="5F3024EE">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经查，当事人门店注册日期为2020年6月13日，主要经营产品为婴幼儿服装、奶粉、儿童玩具等商品。</w:t>
      </w:r>
    </w:p>
    <w:p w14:paraId="2358FD3A">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经查，2025年12月19日我局执法人员在当事人经营场所货架上，发现宜品牌欧士达婴儿配方羊奶粉1段（0-6月龄）、旗帜牌旗帜帜萃较大婴儿配方奶粉2段（6-12月龄）、飞鹤牌咩咩加护较大婴儿配方羊奶粉2段（6-12月龄）、飞鹤牌咩咩加护婴儿配方羊奶粉1段（0-6月龄）、飞鹤牌小羊妙可婴儿配方羊奶粉1段（0-6月龄）、飞鹤牌星飞帆幼儿配方奶粉3段（12-36月龄）、飞鹤牌星飞帆卓钰婴儿配方奶粉1段（0-6月龄）、飞鹤牌星飞帆卓初较大婴儿配方奶粉2段（6-12月龄）、飞鹤牌星飞帆卓睿幼儿配方奶粉3段（12-36月龄）、飞鹤牌臻爱星萃幼儿配方奶粉3段（12-36月龄）、飞鹤牌蓓舒焕特殊医学用途早产/低出生体重婴儿配方食品、金领冠牌珍护菁蕴婴儿配方奶粉1段（0-6月龄）、金领冠牌金领冠珍护幼儿配方奶粉3段（12-36月龄）、金领冠牌悠滋小羊舒享婴儿配方羊奶粉1段（0-6月龄）、金领冠牌金领冠塞纳孜幼儿配方奶粉3段（12-36月龄）、伊力牌榛高紫金装成长配方奶粉、佳贝艾特牌晶萃悦白婴儿配方羊奶粉1段（0-6月龄）、雀巢牌早启能恩特殊医学用途早产/低出生体重婴儿配方食品，共18种293罐商品未明码标价。</w:t>
      </w:r>
    </w:p>
    <w:p w14:paraId="412F98E4">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经询问，被委托人侯小利称，2025年12月14日前均明码标价，2025年12月15日至17日因其生病请假未上班，门店新调来的员工迪丽努尔不了解店内情况，且对店内货品陈列摆放进行调换，未及时张贴价格标签。</w:t>
      </w:r>
    </w:p>
    <w:p w14:paraId="1A296085">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经查，当事人门店于2025年12月11日销售飞鹤星飞帆卓钰1段（750克）1罐，单价259元，单号：NO.000200052512100004T，营业员：侯小利；当事人门店于2025年12月16日销售飞鹤星飞帆卓钰1段（750克）1罐，单价259元，单号：NO.000200052512600003，营业员：迪丽努尔。经我局执法人员调查，当事人门店在未明码标价期间，飞鹤星飞帆卓钰1段（750克）销售价格未发生变化。</w:t>
      </w:r>
    </w:p>
    <w:p w14:paraId="0DC078DE">
      <w:pPr>
        <w:pStyle w:val="2"/>
        <w:keepNext w:val="0"/>
        <w:keepLines w:val="0"/>
        <w:pageBreakBefore w:val="0"/>
        <w:widowControl w:val="0"/>
        <w:kinsoku/>
        <w:wordWrap/>
        <w:overflowPunct w:val="0"/>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经查，当事人门店于2025年12月9日销售佳贝艾特晶萃悦白800克2段1罐，单价358元，单号：NO.0002000525120900012，营业员：侯小利；当事人门店于2025年12月16日销售佳贝艾特晶萃悦白800克2段1罐，单价358元，单号：NO.000200052512600005，营业员：迪丽努尔。经我局执法人员调查，当事人门店在未明码标价期间，佳贝艾特晶萃悦白800克2段销售价格未发生变化。</w:t>
      </w:r>
    </w:p>
    <w:p w14:paraId="30BF6242">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yellow"/>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经查，当事人门店于2025年11月13日销售飞鹤星飞帆卓睿3段750克6罐，单价250元，单号：NO:0002000525111300007,营业员：侯小利；当事人门店于2025年12月16日销售飞鹤星飞帆卓睿3段750克4罐，单价250元，单号：NO.000200052512600001，营业员：迪丽努尔。经我局执法人员调查，当事人门店在未明码标价期间，飞鹤星飞帆卓睿3段750克销售价格未发生变化。</w:t>
      </w:r>
    </w:p>
    <w:p w14:paraId="71CA3C06">
      <w:pPr>
        <w:pStyle w:val="2"/>
        <w:keepNext w:val="0"/>
        <w:keepLines w:val="0"/>
        <w:pageBreakBefore w:val="0"/>
        <w:widowControl w:val="0"/>
        <w:kinsoku/>
        <w:wordWrap/>
        <w:overflowPunct w:val="0"/>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经查，当事人门店于2025年12月6日销售飞鹤小羊妙可2段700克2罐，单价228元，单号：NO.0002000525120600008，营业员：侯小利；当事人门店于2025年12月16日销售飞鹤小羊妙可2段700克2罐，单价225元，单号：NO.0002000525121600011，营业员：迪丽努尔。经我局执法人员调查，当事人门店在未明码标价期间，飞鹤小羊妙可2段700克未出现溢价销售的情况。</w:t>
      </w:r>
    </w:p>
    <w:p w14:paraId="0509D465">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经查，当事人门店于2025年12月14日销售悠滋小羊舒享700克1段6罐，单价255元，单号：NO.0002000525121400012，营业员：侯小利；当事人门店于2025年12月16日销售悠滋小羊舒享700克1段1罐，单价255元，单号：NO.0002000525121600013，营业员：迪丽努尔。经我局执法人员调查，当事人门店在未明码标价期间，悠滋小羊舒享700克1段销售价格未发生变化。</w:t>
      </w:r>
    </w:p>
    <w:p w14:paraId="276F7218">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综上所述，当事人在2025年12月15日至18日期间，销售飞鹤星飞帆卓睿3段750克4罐，单价250元，合计1000元；飞鹤星飞帆卓钰一段750克1罐，单价259元；佳贝艾特晶萃悦白800克2段1罐，单价358元；飞鹤小羊妙可2段700克2罐，单价225元，合计450元；悠滋小羊舒享700克1段1罐，单价255元。上述5种9罐商品货值金额2322元（1000元+259元+358元+450元+255元），没有违法所得。</w:t>
      </w:r>
    </w:p>
    <w:p w14:paraId="277CB85B">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经查，2025年12月19日执法人员现场检查时，发现当事人存在商品未明码标价问题，当事人随即启动整改工作。2025年12月22日，当事人向我局提交《整改报告》。同日，执法人员再次赴现场核实，确认当事人已完成店内全部在售商品的明码标价工作。</w:t>
      </w:r>
    </w:p>
    <w:p w14:paraId="40AF8A74">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b/>
          <w:bCs/>
          <w:color w:val="auto"/>
          <w:spacing w:val="0"/>
          <w:w w:val="100"/>
          <w:sz w:val="32"/>
          <w:szCs w:val="32"/>
          <w:highlight w:val="none"/>
          <w:u w:val="none"/>
          <w:lang w:val="en-US" w:eastAsia="zh-CN"/>
        </w:rPr>
        <w:t>上述事实，主要有以下证据证明：</w:t>
      </w:r>
    </w:p>
    <w:p w14:paraId="322C89FF">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1.2025年12月19日，</w:t>
      </w:r>
      <w:r>
        <w:rPr>
          <w:rFonts w:hint="default" w:ascii="Times New Roman" w:hAnsi="Times New Roman" w:eastAsia="仿宋_GB2312" w:cs="Times New Roman"/>
          <w:color w:val="auto"/>
          <w:spacing w:val="0"/>
          <w:w w:val="100"/>
          <w:sz w:val="32"/>
          <w:szCs w:val="32"/>
          <w:highlight w:val="none"/>
          <w:u w:val="none"/>
          <w:lang w:val="en-US" w:eastAsia="zh-CN"/>
        </w:rPr>
        <w:t>我局执法人员依法提取当事人营业执照复印件1份，证明当事人的主体资质；</w:t>
      </w:r>
    </w:p>
    <w:p w14:paraId="5205667F">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2.2025年12月19日，我局</w:t>
      </w:r>
      <w:r>
        <w:rPr>
          <w:rFonts w:hint="default" w:ascii="Times New Roman" w:hAnsi="Times New Roman" w:eastAsia="仿宋_GB2312" w:cs="Times New Roman"/>
          <w:color w:val="auto"/>
          <w:spacing w:val="0"/>
          <w:w w:val="100"/>
          <w:sz w:val="32"/>
          <w:szCs w:val="32"/>
          <w:highlight w:val="none"/>
          <w:u w:val="none"/>
          <w:lang w:val="en-US" w:eastAsia="zh-CN"/>
        </w:rPr>
        <w:t>执法人员依法提取当事人</w:t>
      </w:r>
      <w:r>
        <w:rPr>
          <w:rFonts w:hint="eastAsia" w:ascii="Times New Roman" w:hAnsi="Times New Roman" w:eastAsia="仿宋_GB2312" w:cs="Times New Roman"/>
          <w:color w:val="auto"/>
          <w:spacing w:val="0"/>
          <w:w w:val="100"/>
          <w:sz w:val="32"/>
          <w:szCs w:val="32"/>
          <w:highlight w:val="none"/>
          <w:u w:val="none"/>
          <w:lang w:val="en-US" w:eastAsia="zh-CN"/>
        </w:rPr>
        <w:t>食品经营许可证</w:t>
      </w:r>
      <w:r>
        <w:rPr>
          <w:rFonts w:hint="default" w:ascii="Times New Roman" w:hAnsi="Times New Roman" w:eastAsia="仿宋_GB2312" w:cs="Times New Roman"/>
          <w:color w:val="auto"/>
          <w:spacing w:val="0"/>
          <w:w w:val="100"/>
          <w:sz w:val="32"/>
          <w:szCs w:val="32"/>
          <w:highlight w:val="none"/>
          <w:u w:val="none"/>
          <w:lang w:val="en-US" w:eastAsia="zh-CN"/>
        </w:rPr>
        <w:t>复印件1份，证明当事人的</w:t>
      </w:r>
      <w:r>
        <w:rPr>
          <w:rFonts w:hint="eastAsia" w:ascii="Times New Roman" w:hAnsi="Times New Roman" w:eastAsia="仿宋_GB2312" w:cs="Times New Roman"/>
          <w:color w:val="auto"/>
          <w:spacing w:val="0"/>
          <w:w w:val="100"/>
          <w:sz w:val="32"/>
          <w:szCs w:val="32"/>
          <w:highlight w:val="none"/>
          <w:u w:val="none"/>
          <w:lang w:val="en-US" w:eastAsia="zh-CN"/>
        </w:rPr>
        <w:t>经营</w:t>
      </w:r>
      <w:r>
        <w:rPr>
          <w:rFonts w:hint="default" w:ascii="Times New Roman" w:hAnsi="Times New Roman" w:eastAsia="仿宋_GB2312" w:cs="Times New Roman"/>
          <w:color w:val="auto"/>
          <w:spacing w:val="0"/>
          <w:w w:val="100"/>
          <w:sz w:val="32"/>
          <w:szCs w:val="32"/>
          <w:highlight w:val="none"/>
          <w:u w:val="none"/>
          <w:lang w:val="en-US" w:eastAsia="zh-CN"/>
        </w:rPr>
        <w:t>资质；</w:t>
      </w:r>
    </w:p>
    <w:p w14:paraId="33AE2363">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3.2025年12月19日，</w:t>
      </w:r>
      <w:r>
        <w:rPr>
          <w:rFonts w:hint="default" w:ascii="Times New Roman" w:hAnsi="Times New Roman" w:eastAsia="仿宋_GB2312" w:cs="Times New Roman"/>
          <w:color w:val="auto"/>
          <w:spacing w:val="0"/>
          <w:w w:val="100"/>
          <w:sz w:val="32"/>
          <w:szCs w:val="32"/>
          <w:highlight w:val="none"/>
          <w:u w:val="none"/>
          <w:lang w:val="en-US" w:eastAsia="zh-CN"/>
        </w:rPr>
        <w:t>我局执法人员依法提取当事人经营者身份证（</w:t>
      </w:r>
      <w:r>
        <w:rPr>
          <w:rFonts w:hint="eastAsia" w:ascii="Times New Roman" w:hAnsi="Times New Roman" w:eastAsia="仿宋_GB2312" w:cs="Times New Roman"/>
          <w:color w:val="auto"/>
          <w:spacing w:val="0"/>
          <w:w w:val="100"/>
          <w:sz w:val="32"/>
          <w:szCs w:val="32"/>
          <w:highlight w:val="none"/>
          <w:u w:val="none"/>
          <w:lang w:val="en-US" w:eastAsia="zh-CN"/>
        </w:rPr>
        <w:t>常朝洋</w:t>
      </w:r>
      <w:r>
        <w:rPr>
          <w:rFonts w:hint="default" w:ascii="Times New Roman" w:hAnsi="Times New Roman" w:eastAsia="仿宋_GB2312" w:cs="Times New Roman"/>
          <w:color w:val="auto"/>
          <w:spacing w:val="0"/>
          <w:w w:val="100"/>
          <w:sz w:val="32"/>
          <w:szCs w:val="32"/>
          <w:highlight w:val="none"/>
          <w:u w:val="none"/>
          <w:lang w:val="en-US" w:eastAsia="zh-CN"/>
        </w:rPr>
        <w:t>）复印件</w:t>
      </w:r>
      <w:r>
        <w:rPr>
          <w:rFonts w:hint="eastAsia" w:ascii="Times New Roman" w:hAnsi="Times New Roman" w:eastAsia="仿宋_GB2312" w:cs="Times New Roman"/>
          <w:color w:val="auto"/>
          <w:spacing w:val="0"/>
          <w:w w:val="100"/>
          <w:sz w:val="32"/>
          <w:szCs w:val="32"/>
          <w:highlight w:val="none"/>
          <w:u w:val="none"/>
          <w:lang w:val="en-US" w:eastAsia="zh-CN"/>
        </w:rPr>
        <w:t>1</w:t>
      </w:r>
      <w:r>
        <w:rPr>
          <w:rFonts w:hint="default" w:ascii="Times New Roman" w:hAnsi="Times New Roman" w:eastAsia="仿宋_GB2312" w:cs="Times New Roman"/>
          <w:color w:val="auto"/>
          <w:spacing w:val="0"/>
          <w:w w:val="100"/>
          <w:sz w:val="32"/>
          <w:szCs w:val="32"/>
          <w:highlight w:val="none"/>
          <w:u w:val="none"/>
          <w:lang w:val="en-US" w:eastAsia="zh-CN"/>
        </w:rPr>
        <w:t>份，证明当事人经营者身份</w:t>
      </w:r>
      <w:r>
        <w:rPr>
          <w:rFonts w:hint="eastAsia" w:ascii="Times New Roman" w:hAnsi="Times New Roman" w:eastAsia="仿宋_GB2312" w:cs="Times New Roman"/>
          <w:color w:val="auto"/>
          <w:spacing w:val="0"/>
          <w:w w:val="100"/>
          <w:sz w:val="32"/>
          <w:szCs w:val="32"/>
          <w:highlight w:val="none"/>
          <w:u w:val="none"/>
          <w:lang w:val="en-US" w:eastAsia="zh-CN"/>
        </w:rPr>
        <w:t>的事实</w:t>
      </w:r>
      <w:r>
        <w:rPr>
          <w:rFonts w:hint="default" w:ascii="Times New Roman" w:hAnsi="Times New Roman" w:eastAsia="仿宋_GB2312" w:cs="Times New Roman"/>
          <w:color w:val="auto"/>
          <w:spacing w:val="0"/>
          <w:w w:val="100"/>
          <w:sz w:val="32"/>
          <w:szCs w:val="32"/>
          <w:highlight w:val="none"/>
          <w:u w:val="none"/>
          <w:lang w:val="en-US" w:eastAsia="zh-CN"/>
        </w:rPr>
        <w:t>；</w:t>
      </w:r>
    </w:p>
    <w:p w14:paraId="4E659D2C">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4.2025年12月19日，</w:t>
      </w:r>
      <w:r>
        <w:rPr>
          <w:rFonts w:hint="default" w:ascii="Times New Roman" w:hAnsi="Times New Roman" w:eastAsia="仿宋_GB2312" w:cs="Times New Roman"/>
          <w:color w:val="auto"/>
          <w:spacing w:val="0"/>
          <w:w w:val="100"/>
          <w:sz w:val="32"/>
          <w:szCs w:val="32"/>
          <w:highlight w:val="none"/>
          <w:u w:val="none"/>
          <w:lang w:val="en-US" w:eastAsia="zh-CN"/>
        </w:rPr>
        <w:t>我局执法人员依法提取当事人</w:t>
      </w:r>
      <w:r>
        <w:rPr>
          <w:rFonts w:hint="eastAsia" w:ascii="Times New Roman" w:hAnsi="Times New Roman" w:eastAsia="仿宋_GB2312" w:cs="Times New Roman"/>
          <w:color w:val="auto"/>
          <w:spacing w:val="0"/>
          <w:w w:val="100"/>
          <w:sz w:val="32"/>
          <w:szCs w:val="32"/>
          <w:highlight w:val="none"/>
          <w:u w:val="none"/>
          <w:lang w:val="en-US" w:eastAsia="zh-CN"/>
        </w:rPr>
        <w:t>员工</w:t>
      </w:r>
      <w:r>
        <w:rPr>
          <w:rFonts w:hint="default" w:ascii="Times New Roman" w:hAnsi="Times New Roman" w:eastAsia="仿宋_GB2312" w:cs="Times New Roman"/>
          <w:color w:val="auto"/>
          <w:spacing w:val="0"/>
          <w:w w:val="100"/>
          <w:sz w:val="32"/>
          <w:szCs w:val="32"/>
          <w:highlight w:val="none"/>
          <w:u w:val="none"/>
          <w:lang w:val="en-US" w:eastAsia="zh-CN"/>
        </w:rPr>
        <w:t>身份证（</w:t>
      </w:r>
      <w:r>
        <w:rPr>
          <w:rFonts w:hint="eastAsia" w:ascii="Times New Roman" w:hAnsi="Times New Roman" w:eastAsia="仿宋_GB2312" w:cs="Times New Roman"/>
          <w:color w:val="auto"/>
          <w:spacing w:val="0"/>
          <w:w w:val="100"/>
          <w:sz w:val="32"/>
          <w:szCs w:val="32"/>
          <w:highlight w:val="none"/>
          <w:u w:val="none"/>
          <w:lang w:val="en-US" w:eastAsia="zh-CN"/>
        </w:rPr>
        <w:t>侯小利</w:t>
      </w:r>
      <w:r>
        <w:rPr>
          <w:rFonts w:hint="default" w:ascii="Times New Roman" w:hAnsi="Times New Roman" w:eastAsia="仿宋_GB2312" w:cs="Times New Roman"/>
          <w:color w:val="auto"/>
          <w:spacing w:val="0"/>
          <w:w w:val="100"/>
          <w:sz w:val="32"/>
          <w:szCs w:val="32"/>
          <w:highlight w:val="none"/>
          <w:u w:val="none"/>
          <w:lang w:val="en-US" w:eastAsia="zh-CN"/>
        </w:rPr>
        <w:t>）复印件</w:t>
      </w:r>
      <w:r>
        <w:rPr>
          <w:rFonts w:hint="eastAsia" w:ascii="Times New Roman" w:hAnsi="Times New Roman" w:eastAsia="仿宋_GB2312" w:cs="Times New Roman"/>
          <w:color w:val="auto"/>
          <w:spacing w:val="0"/>
          <w:w w:val="100"/>
          <w:sz w:val="32"/>
          <w:szCs w:val="32"/>
          <w:highlight w:val="none"/>
          <w:u w:val="none"/>
          <w:lang w:val="en-US" w:eastAsia="zh-CN"/>
        </w:rPr>
        <w:t>1</w:t>
      </w:r>
      <w:r>
        <w:rPr>
          <w:rFonts w:hint="default" w:ascii="Times New Roman" w:hAnsi="Times New Roman" w:eastAsia="仿宋_GB2312" w:cs="Times New Roman"/>
          <w:color w:val="auto"/>
          <w:spacing w:val="0"/>
          <w:w w:val="100"/>
          <w:sz w:val="32"/>
          <w:szCs w:val="32"/>
          <w:highlight w:val="none"/>
          <w:u w:val="none"/>
          <w:lang w:val="en-US" w:eastAsia="zh-CN"/>
        </w:rPr>
        <w:t>份，证明当事人</w:t>
      </w:r>
      <w:r>
        <w:rPr>
          <w:rFonts w:hint="eastAsia" w:ascii="Times New Roman" w:hAnsi="Times New Roman" w:eastAsia="仿宋_GB2312" w:cs="Times New Roman"/>
          <w:color w:val="auto"/>
          <w:spacing w:val="0"/>
          <w:w w:val="100"/>
          <w:sz w:val="32"/>
          <w:szCs w:val="32"/>
          <w:highlight w:val="none"/>
          <w:u w:val="none"/>
          <w:lang w:val="en-US" w:eastAsia="zh-CN"/>
        </w:rPr>
        <w:t>员工</w:t>
      </w:r>
      <w:r>
        <w:rPr>
          <w:rFonts w:hint="default" w:ascii="Times New Roman" w:hAnsi="Times New Roman" w:eastAsia="仿宋_GB2312" w:cs="Times New Roman"/>
          <w:color w:val="auto"/>
          <w:spacing w:val="0"/>
          <w:w w:val="100"/>
          <w:sz w:val="32"/>
          <w:szCs w:val="32"/>
          <w:highlight w:val="none"/>
          <w:u w:val="none"/>
          <w:lang w:val="en-US" w:eastAsia="zh-CN"/>
        </w:rPr>
        <w:t>身份</w:t>
      </w:r>
      <w:r>
        <w:rPr>
          <w:rFonts w:hint="eastAsia" w:ascii="Times New Roman" w:hAnsi="Times New Roman" w:eastAsia="仿宋_GB2312" w:cs="Times New Roman"/>
          <w:color w:val="auto"/>
          <w:spacing w:val="0"/>
          <w:w w:val="100"/>
          <w:sz w:val="32"/>
          <w:szCs w:val="32"/>
          <w:highlight w:val="none"/>
          <w:u w:val="none"/>
          <w:lang w:val="en-US" w:eastAsia="zh-CN"/>
        </w:rPr>
        <w:t>的事实</w:t>
      </w:r>
      <w:r>
        <w:rPr>
          <w:rFonts w:hint="default" w:ascii="Times New Roman" w:hAnsi="Times New Roman" w:eastAsia="仿宋_GB2312" w:cs="Times New Roman"/>
          <w:color w:val="auto"/>
          <w:spacing w:val="0"/>
          <w:w w:val="100"/>
          <w:sz w:val="32"/>
          <w:szCs w:val="32"/>
          <w:highlight w:val="none"/>
          <w:u w:val="none"/>
          <w:lang w:val="en-US" w:eastAsia="zh-CN"/>
        </w:rPr>
        <w:t>；</w:t>
      </w:r>
    </w:p>
    <w:p w14:paraId="350A0770">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5.2025年12月19日，我局执法人员依法提取兵团96359便民服务热线匿名举报（工单编号：DH20251218BT024371）一份，证明案件来源的事实；</w:t>
      </w:r>
    </w:p>
    <w:p w14:paraId="67595B70">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6.2025年12月21日，我局执法人员依法提取当事人授权委托书一份，证明被委托人侯小利具有配合本案调查处置资格的事实；</w:t>
      </w:r>
    </w:p>
    <w:p w14:paraId="0A65FF42">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7.2025年12月19日，我局执法人员对当事人现场检查拍摄照片5张，证明当事人销售商品未明码标价和我局执法人员执法检查情况的事实；</w:t>
      </w:r>
    </w:p>
    <w:p w14:paraId="2F67EF20">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8.2025年12月19日，我局执法人员依法对当事人制作现场笔录1份，证明当事人销售商品未明码标价的事实；</w:t>
      </w:r>
    </w:p>
    <w:p w14:paraId="3F0F044B">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9.2025年12月22日，我局执法人员依法提取当事人向我局提供《整改报告》1份，证明当事人整改的事实；</w:t>
      </w:r>
    </w:p>
    <w:p w14:paraId="1700EC15">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10.2025年12月23日，我局执法人员对当事人被委托人制作询问笔录一份，证明我局执法人员对当事人被委托人进行询问的事实；</w:t>
      </w:r>
    </w:p>
    <w:p w14:paraId="2C5117E4">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11.2025年12月26日，我局执法人员提取当事人门店销售佳贝艾特晶萃悦白800克2段、飞鹤星飞帆卓钰1段（750克）POS销售单等共5份，证明当事人未溢价销售商品的事实；</w:t>
      </w:r>
    </w:p>
    <w:p w14:paraId="6275735D">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12.2025年12月26日，我局执法人员查询国家企业信用信息公示系统，并截图当事人行政处罚的相关信息1张，证明当事人未被行政处罚的事实。</w:t>
      </w:r>
    </w:p>
    <w:p w14:paraId="04605E90">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以上证据材料均依照法定程序收集，均由当事人被委托人侯小利签字、盖章确认，符合法定形式。</w:t>
      </w:r>
    </w:p>
    <w:p w14:paraId="16E0AB6A">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案件办理过程中，执法人员在现场检查、询问调查时均告知当事人</w:t>
      </w:r>
      <w:r>
        <w:rPr>
          <w:rFonts w:hint="eastAsia" w:ascii="Times New Roman" w:hAnsi="Times New Roman" w:eastAsia="仿宋_GB2312" w:cs="Times New Roman"/>
          <w:color w:val="auto"/>
          <w:spacing w:val="0"/>
          <w:w w:val="100"/>
          <w:sz w:val="32"/>
          <w:szCs w:val="32"/>
          <w:highlight w:val="none"/>
          <w:u w:val="none"/>
          <w:lang w:val="en-US" w:eastAsia="zh-CN"/>
        </w:rPr>
        <w:t>被委托人</w:t>
      </w:r>
      <w:r>
        <w:rPr>
          <w:rFonts w:hint="eastAsia" w:ascii="Times New Roman" w:hAnsi="Times New Roman" w:eastAsia="仿宋_GB2312" w:cs="Times New Roman"/>
          <w:snapToGrid w:val="0"/>
          <w:color w:val="auto"/>
          <w:spacing w:val="0"/>
          <w:kern w:val="0"/>
          <w:sz w:val="32"/>
          <w:szCs w:val="32"/>
          <w:highlight w:val="none"/>
          <w:lang w:val="en-US" w:eastAsia="zh-CN" w:bidi="ar-SA"/>
        </w:rPr>
        <w:t>依法享有陈述、申辩的权利，当事人</w:t>
      </w:r>
      <w:r>
        <w:rPr>
          <w:rFonts w:hint="eastAsia" w:ascii="Times New Roman" w:hAnsi="Times New Roman" w:eastAsia="仿宋_GB2312" w:cs="Times New Roman"/>
          <w:color w:val="auto"/>
          <w:spacing w:val="0"/>
          <w:w w:val="100"/>
          <w:sz w:val="32"/>
          <w:szCs w:val="32"/>
          <w:highlight w:val="none"/>
          <w:u w:val="none"/>
          <w:lang w:val="en-US" w:eastAsia="zh-CN"/>
        </w:rPr>
        <w:t>被委托人</w:t>
      </w:r>
      <w:r>
        <w:rPr>
          <w:rFonts w:hint="eastAsia" w:ascii="Times New Roman" w:hAnsi="Times New Roman" w:eastAsia="仿宋_GB2312" w:cs="Times New Roman"/>
          <w:snapToGrid w:val="0"/>
          <w:color w:val="auto"/>
          <w:spacing w:val="0"/>
          <w:kern w:val="0"/>
          <w:sz w:val="32"/>
          <w:szCs w:val="32"/>
          <w:highlight w:val="none"/>
          <w:lang w:val="en-US" w:eastAsia="zh-CN" w:bidi="ar-SA"/>
        </w:rPr>
        <w:t>未提出陈述、申辩。2026年1月13日，我局执法人员依法向当事人送达《第十四师市场监督管理局行政处罚告知书》（十四师市监罚告〔2026〕3号），告知当事人拟作出的行政处罚内容以及事实、理由、依据，并告知当事人依法享有的陈述、申辩的权利，当事人未在法定期限内提出陈述、申辩申请。</w:t>
      </w:r>
    </w:p>
    <w:p w14:paraId="731404D2">
      <w:pPr>
        <w:keepNext w:val="0"/>
        <w:keepLines w:val="0"/>
        <w:pageBreakBefore w:val="0"/>
        <w:widowControl w:val="0"/>
        <w:kinsoku/>
        <w:wordWrap/>
        <w:overflowPunct/>
        <w:topLinePunct/>
        <w:autoSpaceDE/>
        <w:autoSpaceDN/>
        <w:bidi w:val="0"/>
        <w:adjustRightInd w:val="0"/>
        <w:snapToGrid w:val="0"/>
        <w:spacing w:line="540" w:lineRule="exact"/>
        <w:ind w:right="0" w:firstLine="643" w:firstLineChars="200"/>
        <w:jc w:val="both"/>
        <w:textAlignment w:val="baseline"/>
        <w:rPr>
          <w:rFonts w:hint="default" w:ascii="Times New Roman" w:hAnsi="Times New Roman" w:eastAsia="仿宋_GB2312" w:cs="Times New Roman"/>
          <w:snapToGrid w:val="0"/>
          <w:color w:val="auto"/>
          <w:spacing w:val="0"/>
          <w:kern w:val="0"/>
          <w:sz w:val="32"/>
          <w:szCs w:val="32"/>
          <w:highlight w:val="none"/>
          <w:lang w:val="en-US" w:eastAsia="zh-CN" w:bidi="ar-SA"/>
        </w:rPr>
      </w:pPr>
      <w:r>
        <w:rPr>
          <w:rFonts w:hint="default" w:ascii="Times New Roman" w:hAnsi="Times New Roman" w:eastAsia="仿宋_GB2312" w:cs="Times New Roman"/>
          <w:b/>
          <w:bCs/>
          <w:snapToGrid w:val="0"/>
          <w:color w:val="auto"/>
          <w:spacing w:val="0"/>
          <w:kern w:val="0"/>
          <w:sz w:val="32"/>
          <w:szCs w:val="32"/>
          <w:highlight w:val="none"/>
          <w:lang w:val="en-US" w:eastAsia="zh-CN" w:bidi="ar-SA"/>
        </w:rPr>
        <w:t>本局认为</w:t>
      </w:r>
      <w:r>
        <w:rPr>
          <w:rFonts w:hint="eastAsia" w:ascii="Times New Roman" w:hAnsi="Times New Roman" w:eastAsia="仿宋_GB2312" w:cs="Times New Roman"/>
          <w:b/>
          <w:bCs/>
          <w:snapToGrid w:val="0"/>
          <w:color w:val="auto"/>
          <w:spacing w:val="0"/>
          <w:kern w:val="0"/>
          <w:sz w:val="32"/>
          <w:szCs w:val="32"/>
          <w:highlight w:val="none"/>
          <w:lang w:val="en-US" w:eastAsia="zh-CN" w:bidi="ar-SA"/>
        </w:rPr>
        <w:t>，</w:t>
      </w:r>
      <w:r>
        <w:rPr>
          <w:rFonts w:hint="eastAsia" w:ascii="Times New Roman" w:hAnsi="Times New Roman" w:eastAsia="仿宋_GB2312" w:cs="Times New Roman"/>
          <w:color w:val="auto"/>
          <w:spacing w:val="0"/>
          <w:w w:val="100"/>
          <w:sz w:val="32"/>
          <w:szCs w:val="32"/>
          <w:highlight w:val="none"/>
          <w:u w:val="none"/>
          <w:lang w:val="en-US" w:eastAsia="zh-CN"/>
        </w:rPr>
        <w:t>当事人经营旗帜牌旗帜帜萃较大婴儿配方奶粉2段（6-12月龄）、宜品牌欧士达婴儿配方羊奶粉1段（0-6月龄）等18种293罐奶粉未明码标价的行为，违反了《中华人民共和国价格法》第十三条第一款“经营者销售、收购商品和提供服务，应当按照政府价格主管部门的规定明码标价，注明商品的品名、产地、规格、等级、计价单位、价格或者服务的项目、收费标准等有关情况。……”的规定，构成销售商品未明码标价的违法行为。依据《中华人民共和国价格法》第四十二条“经营者违反明码标价规定的，责令改正，没收违法所得，可以并处五千元以下的罚款。”的规定，</w:t>
      </w:r>
      <w:r>
        <w:rPr>
          <w:rFonts w:hint="eastAsia" w:ascii="仿宋_GB2312" w:hAnsi="仿宋_GB2312" w:eastAsia="仿宋_GB2312" w:cs="仿宋_GB2312"/>
          <w:color w:val="auto"/>
          <w:spacing w:val="0"/>
          <w:sz w:val="32"/>
          <w:szCs w:val="32"/>
          <w:highlight w:val="none"/>
          <w:u w:val="none" w:color="auto"/>
          <w:lang w:val="en-US" w:eastAsia="zh-CN"/>
        </w:rPr>
        <w:t>本机关应当责令当事人立即改正上述违法行为，并处</w:t>
      </w:r>
      <w:r>
        <w:rPr>
          <w:rFonts w:hint="eastAsia" w:ascii="Times New Roman" w:hAnsi="Times New Roman" w:eastAsia="仿宋_GB2312" w:cs="Times New Roman"/>
          <w:color w:val="auto"/>
          <w:spacing w:val="0"/>
          <w:w w:val="100"/>
          <w:sz w:val="32"/>
          <w:szCs w:val="32"/>
          <w:highlight w:val="none"/>
          <w:u w:val="none"/>
          <w:lang w:val="en-US" w:eastAsia="zh-CN"/>
        </w:rPr>
        <w:t>五千元以下的</w:t>
      </w:r>
      <w:r>
        <w:rPr>
          <w:rFonts w:hint="eastAsia" w:ascii="仿宋_GB2312" w:hAnsi="仿宋_GB2312" w:eastAsia="仿宋_GB2312" w:cs="仿宋_GB2312"/>
          <w:color w:val="auto"/>
          <w:spacing w:val="0"/>
          <w:sz w:val="32"/>
          <w:szCs w:val="32"/>
          <w:highlight w:val="none"/>
          <w:u w:val="none" w:color="auto"/>
          <w:lang w:val="en-US" w:eastAsia="zh-CN"/>
        </w:rPr>
        <w:t>罚款。</w:t>
      </w:r>
    </w:p>
    <w:p w14:paraId="0B059CA7">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eastAsia" w:ascii="Times New Roman" w:hAnsi="Times New Roman" w:eastAsia="仿宋_GB2312" w:cs="Times New Roman"/>
          <w:color w:val="auto"/>
          <w:spacing w:val="0"/>
          <w:w w:val="100"/>
          <w:sz w:val="32"/>
          <w:szCs w:val="32"/>
          <w:highlight w:val="none"/>
          <w:u w:val="none"/>
          <w:lang w:val="en-US" w:eastAsia="zh-CN"/>
        </w:rPr>
      </w:pPr>
      <w:r>
        <w:rPr>
          <w:rFonts w:hint="default" w:ascii="Times New Roman" w:hAnsi="Times New Roman" w:eastAsia="仿宋_GB2312" w:cs="Times New Roman"/>
          <w:b w:val="0"/>
          <w:bCs w:val="0"/>
          <w:color w:val="auto"/>
          <w:spacing w:val="-1"/>
          <w:sz w:val="32"/>
          <w:szCs w:val="32"/>
          <w:highlight w:val="none"/>
          <w:lang w:val="en-US" w:eastAsia="zh-CN"/>
        </w:rPr>
        <w:t>在案件调查过程中，</w:t>
      </w:r>
      <w:r>
        <w:rPr>
          <w:rFonts w:hint="eastAsia" w:ascii="Times New Roman" w:hAnsi="Times New Roman" w:eastAsia="仿宋_GB2312" w:cs="Times New Roman"/>
          <w:color w:val="auto"/>
          <w:spacing w:val="0"/>
          <w:w w:val="100"/>
          <w:sz w:val="32"/>
          <w:szCs w:val="32"/>
          <w:highlight w:val="none"/>
          <w:u w:val="none"/>
          <w:lang w:val="en-US" w:eastAsia="zh-CN"/>
        </w:rPr>
        <w:t>当事人经营者管理责任缺失，导致出现销售商品未明码标价的情形，存在过错</w:t>
      </w:r>
      <w:r>
        <w:rPr>
          <w:rFonts w:hint="default" w:ascii="Times New Roman" w:hAnsi="Times New Roman" w:eastAsia="仿宋_GB2312" w:cs="Times New Roman"/>
          <w:color w:val="auto"/>
          <w:spacing w:val="0"/>
          <w:w w:val="100"/>
          <w:sz w:val="32"/>
          <w:szCs w:val="32"/>
          <w:highlight w:val="none"/>
          <w:u w:val="none"/>
          <w:lang w:val="en-US" w:eastAsia="zh-CN"/>
        </w:rPr>
        <w:t>。本案调查过程中，</w:t>
      </w:r>
      <w:r>
        <w:rPr>
          <w:rFonts w:hint="eastAsia" w:ascii="Times New Roman" w:hAnsi="Times New Roman" w:eastAsia="仿宋_GB2312" w:cs="Times New Roman"/>
          <w:color w:val="auto"/>
          <w:spacing w:val="0"/>
          <w:w w:val="100"/>
          <w:sz w:val="32"/>
          <w:szCs w:val="32"/>
          <w:highlight w:val="none"/>
          <w:u w:val="none"/>
          <w:lang w:val="en-US" w:eastAsia="zh-CN"/>
        </w:rPr>
        <w:t>当事人经营者及其被委托人能够积极配合调查，</w:t>
      </w:r>
      <w:r>
        <w:rPr>
          <w:rFonts w:hint="default" w:ascii="Times New Roman" w:hAnsi="Times New Roman" w:eastAsia="仿宋_GB2312" w:cs="Times New Roman"/>
          <w:color w:val="auto"/>
          <w:spacing w:val="0"/>
          <w:w w:val="100"/>
          <w:sz w:val="32"/>
          <w:szCs w:val="32"/>
          <w:highlight w:val="none"/>
          <w:u w:val="none"/>
          <w:lang w:val="en-US" w:eastAsia="zh-CN"/>
        </w:rPr>
        <w:t>主动</w:t>
      </w:r>
      <w:r>
        <w:rPr>
          <w:rFonts w:hint="eastAsia" w:ascii="Times New Roman" w:hAnsi="Times New Roman" w:eastAsia="仿宋_GB2312" w:cs="Times New Roman"/>
          <w:color w:val="auto"/>
          <w:spacing w:val="0"/>
          <w:w w:val="100"/>
          <w:sz w:val="32"/>
          <w:szCs w:val="32"/>
          <w:highlight w:val="none"/>
          <w:u w:val="none"/>
          <w:lang w:val="en-US" w:eastAsia="zh-CN"/>
        </w:rPr>
        <w:t>提交整改报告并</w:t>
      </w:r>
      <w:r>
        <w:rPr>
          <w:rFonts w:hint="default" w:ascii="Times New Roman" w:hAnsi="Times New Roman" w:eastAsia="仿宋_GB2312" w:cs="Times New Roman"/>
          <w:color w:val="auto"/>
          <w:spacing w:val="0"/>
          <w:w w:val="100"/>
          <w:sz w:val="32"/>
          <w:szCs w:val="32"/>
          <w:highlight w:val="none"/>
          <w:u w:val="none"/>
          <w:lang w:val="en-US" w:eastAsia="zh-CN"/>
        </w:rPr>
        <w:t>承认错误，认错态度良好</w:t>
      </w:r>
      <w:r>
        <w:rPr>
          <w:rFonts w:hint="eastAsia" w:ascii="Times New Roman" w:hAnsi="Times New Roman" w:eastAsia="仿宋_GB2312" w:cs="Times New Roman"/>
          <w:color w:val="auto"/>
          <w:spacing w:val="0"/>
          <w:w w:val="100"/>
          <w:sz w:val="32"/>
          <w:szCs w:val="32"/>
          <w:highlight w:val="none"/>
          <w:u w:val="none"/>
          <w:lang w:val="en-US" w:eastAsia="zh-CN"/>
        </w:rPr>
        <w:t>，</w:t>
      </w:r>
      <w:r>
        <w:rPr>
          <w:rFonts w:hint="default" w:ascii="Times New Roman" w:hAnsi="Times New Roman" w:eastAsia="仿宋_GB2312" w:cs="Times New Roman"/>
          <w:color w:val="auto"/>
          <w:spacing w:val="0"/>
          <w:w w:val="100"/>
          <w:sz w:val="32"/>
          <w:szCs w:val="32"/>
          <w:highlight w:val="none"/>
          <w:u w:val="none"/>
          <w:lang w:val="en-US" w:eastAsia="zh-CN"/>
        </w:rPr>
        <w:t>对</w:t>
      </w:r>
      <w:r>
        <w:rPr>
          <w:rFonts w:hint="eastAsia" w:ascii="Times New Roman" w:hAnsi="Times New Roman" w:eastAsia="仿宋_GB2312" w:cs="Times New Roman"/>
          <w:color w:val="auto"/>
          <w:spacing w:val="0"/>
          <w:w w:val="100"/>
          <w:sz w:val="32"/>
          <w:szCs w:val="32"/>
          <w:highlight w:val="none"/>
          <w:u w:val="none"/>
          <w:lang w:val="en-US" w:eastAsia="zh-CN"/>
        </w:rPr>
        <w:t>未明码标价的商品及时整改。本案虽是群众匿名举报，但不存在违法所得，违法行为轻微。</w:t>
      </w:r>
      <w:r>
        <w:rPr>
          <w:rFonts w:hint="default" w:ascii="Times New Roman" w:hAnsi="Times New Roman" w:eastAsia="仿宋_GB2312" w:cs="Times New Roman"/>
          <w:color w:val="auto"/>
          <w:spacing w:val="0"/>
          <w:w w:val="100"/>
          <w:sz w:val="32"/>
          <w:szCs w:val="32"/>
          <w:highlight w:val="none"/>
          <w:u w:val="none"/>
          <w:lang w:val="en-US" w:eastAsia="zh-CN"/>
        </w:rPr>
        <w:t>当事人经营规模小，经营范围仅限于新疆昆玉市</w:t>
      </w:r>
      <w:r>
        <w:rPr>
          <w:rFonts w:hint="eastAsia" w:ascii="Times New Roman" w:hAnsi="Times New Roman" w:eastAsia="仿宋_GB2312" w:cs="Times New Roman"/>
          <w:color w:val="auto"/>
          <w:spacing w:val="0"/>
          <w:w w:val="100"/>
          <w:sz w:val="32"/>
          <w:szCs w:val="32"/>
          <w:highlight w:val="none"/>
          <w:u w:val="none"/>
          <w:lang w:val="en-US" w:eastAsia="zh-CN"/>
        </w:rPr>
        <w:t>二二四团迎宾路商业街，</w:t>
      </w:r>
      <w:r>
        <w:rPr>
          <w:rFonts w:hint="default" w:ascii="Times New Roman" w:hAnsi="Times New Roman" w:eastAsia="仿宋_GB2312" w:cs="Times New Roman"/>
          <w:color w:val="auto"/>
          <w:spacing w:val="0"/>
          <w:w w:val="100"/>
          <w:sz w:val="32"/>
          <w:szCs w:val="32"/>
          <w:highlight w:val="none"/>
          <w:u w:val="none"/>
          <w:lang w:val="en-US" w:eastAsia="zh-CN"/>
        </w:rPr>
        <w:t>风险性及社会危害性较小</w:t>
      </w:r>
      <w:r>
        <w:rPr>
          <w:rFonts w:hint="eastAsia" w:ascii="Times New Roman" w:hAnsi="Times New Roman" w:eastAsia="仿宋_GB2312" w:cs="Times New Roman"/>
          <w:color w:val="auto"/>
          <w:spacing w:val="0"/>
          <w:w w:val="100"/>
          <w:sz w:val="32"/>
          <w:szCs w:val="32"/>
          <w:highlight w:val="none"/>
          <w:u w:val="none"/>
          <w:lang w:val="en-US" w:eastAsia="zh-CN"/>
        </w:rPr>
        <w:t>。经查询国家企业信用信息公示系统，未查询到当事人被行政处罚的相关信息，属于初次违法。</w:t>
      </w:r>
    </w:p>
    <w:p w14:paraId="2DEAF6B1">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0"/>
          <w:w w:val="100"/>
          <w:sz w:val="32"/>
          <w:szCs w:val="32"/>
          <w:highlight w:val="none"/>
          <w:u w:val="none"/>
          <w:lang w:val="en-US" w:eastAsia="zh-CN"/>
        </w:rPr>
      </w:pPr>
      <w:r>
        <w:rPr>
          <w:rFonts w:hint="eastAsia" w:ascii="Times New Roman" w:hAnsi="Times New Roman" w:eastAsia="仿宋_GB2312" w:cs="Times New Roman"/>
          <w:color w:val="auto"/>
          <w:spacing w:val="0"/>
          <w:w w:val="100"/>
          <w:sz w:val="32"/>
          <w:szCs w:val="32"/>
          <w:highlight w:val="none"/>
          <w:u w:val="none"/>
          <w:lang w:val="en-US" w:eastAsia="zh-CN"/>
        </w:rPr>
        <w:t>综合当事人的</w:t>
      </w:r>
      <w:r>
        <w:rPr>
          <w:rFonts w:hint="default" w:ascii="Times New Roman" w:hAnsi="Times New Roman" w:eastAsia="仿宋_GB2312" w:cs="Times New Roman"/>
          <w:color w:val="auto"/>
          <w:spacing w:val="0"/>
          <w:w w:val="100"/>
          <w:sz w:val="32"/>
          <w:szCs w:val="32"/>
          <w:highlight w:val="none"/>
          <w:u w:val="none"/>
          <w:lang w:val="en-US" w:eastAsia="zh-CN"/>
        </w:rPr>
        <w:t>违法事实、性质、情节和社会危害程度，基于</w:t>
      </w:r>
      <w:r>
        <w:rPr>
          <w:rFonts w:hint="eastAsia" w:ascii="Times New Roman" w:hAnsi="Times New Roman" w:eastAsia="仿宋_GB2312" w:cs="Times New Roman"/>
          <w:color w:val="auto"/>
          <w:spacing w:val="0"/>
          <w:w w:val="100"/>
          <w:sz w:val="32"/>
          <w:szCs w:val="32"/>
          <w:highlight w:val="none"/>
          <w:u w:val="none"/>
          <w:lang w:val="en-US" w:eastAsia="zh-CN"/>
        </w:rPr>
        <w:t>公平公正、</w:t>
      </w:r>
      <w:r>
        <w:rPr>
          <w:rFonts w:hint="default" w:ascii="Times New Roman" w:hAnsi="Times New Roman" w:eastAsia="仿宋_GB2312" w:cs="Times New Roman"/>
          <w:color w:val="auto"/>
          <w:spacing w:val="0"/>
          <w:w w:val="100"/>
          <w:sz w:val="32"/>
          <w:szCs w:val="32"/>
          <w:highlight w:val="none"/>
          <w:u w:val="none"/>
          <w:lang w:val="en-US" w:eastAsia="zh-CN"/>
        </w:rPr>
        <w:t>行政处罚与教育相结合</w:t>
      </w:r>
      <w:r>
        <w:rPr>
          <w:rFonts w:hint="eastAsia" w:ascii="Times New Roman" w:hAnsi="Times New Roman" w:eastAsia="仿宋_GB2312" w:cs="Times New Roman"/>
          <w:color w:val="auto"/>
          <w:spacing w:val="0"/>
          <w:w w:val="100"/>
          <w:sz w:val="32"/>
          <w:szCs w:val="32"/>
          <w:highlight w:val="none"/>
          <w:u w:val="none"/>
          <w:lang w:val="en-US" w:eastAsia="zh-CN"/>
        </w:rPr>
        <w:t>、</w:t>
      </w:r>
      <w:r>
        <w:rPr>
          <w:rFonts w:hint="default" w:ascii="Times New Roman" w:hAnsi="Times New Roman" w:eastAsia="仿宋_GB2312" w:cs="Times New Roman"/>
          <w:color w:val="auto"/>
          <w:spacing w:val="0"/>
          <w:w w:val="100"/>
          <w:sz w:val="32"/>
          <w:szCs w:val="32"/>
          <w:highlight w:val="none"/>
          <w:u w:val="none"/>
          <w:lang w:val="en-US" w:eastAsia="zh-CN"/>
        </w:rPr>
        <w:t>过罚相当、综合裁量、包容审慎的原则，</w:t>
      </w:r>
      <w:r>
        <w:rPr>
          <w:rFonts w:hint="eastAsia" w:ascii="Times New Roman" w:hAnsi="Times New Roman" w:eastAsia="仿宋_GB2312" w:cs="Times New Roman"/>
          <w:color w:val="auto"/>
          <w:spacing w:val="0"/>
          <w:w w:val="100"/>
          <w:sz w:val="32"/>
          <w:szCs w:val="32"/>
          <w:highlight w:val="none"/>
          <w:u w:val="none"/>
          <w:lang w:val="en-US" w:eastAsia="zh-CN"/>
        </w:rPr>
        <w:t>依据《新疆维吾尔自治区 新疆生产建设兵团市场监督管理行政处罚裁量权适用规定》第十九条第四项“有下列情形之一的，应当从轻行政处罚：……（四）主动减轻违法行为危害后果的；……”及《新疆维吾尔自治区新疆生产建设兵团市场监管领域 从轻行政处罚事项清单》第76条“从轻处罚情形——有下列一种情形的：</w:t>
      </w:r>
      <w:bookmarkStart w:id="1" w:name="OLE_LINK1"/>
      <w:r>
        <w:rPr>
          <w:rFonts w:hint="eastAsia" w:ascii="Times New Roman" w:hAnsi="Times New Roman" w:eastAsia="仿宋_GB2312" w:cs="Times New Roman"/>
          <w:color w:val="auto"/>
          <w:spacing w:val="0"/>
          <w:w w:val="100"/>
          <w:sz w:val="32"/>
          <w:szCs w:val="32"/>
          <w:highlight w:val="none"/>
          <w:u w:val="none"/>
          <w:lang w:val="en-US" w:eastAsia="zh-CN"/>
        </w:rPr>
        <w:t>……2.主动消除或者减轻违法行为危害后果的；…</w:t>
      </w:r>
      <w:bookmarkEnd w:id="1"/>
      <w:r>
        <w:rPr>
          <w:rFonts w:hint="eastAsia" w:ascii="Times New Roman" w:hAnsi="Times New Roman" w:eastAsia="仿宋_GB2312" w:cs="Times New Roman"/>
          <w:color w:val="auto"/>
          <w:spacing w:val="0"/>
          <w:w w:val="100"/>
          <w:sz w:val="32"/>
          <w:szCs w:val="32"/>
          <w:highlight w:val="none"/>
          <w:u w:val="none"/>
          <w:lang w:val="en-US" w:eastAsia="zh-CN"/>
        </w:rPr>
        <w:t>…。——后续监管及裁量幅度：责令改正；可并处0.15万元以下的罚款。”的规定，本机关决定对当事人销售商品未明码标价的违法行为从轻行政处罚，处罚款750元。</w:t>
      </w:r>
    </w:p>
    <w:p w14:paraId="14D9511D">
      <w:pPr>
        <w:pStyle w:val="2"/>
        <w:keepNext w:val="0"/>
        <w:keepLines w:val="0"/>
        <w:pageBreakBefore w:val="0"/>
        <w:widowControl w:val="0"/>
        <w:kinsoku/>
        <w:wordWrap w:val="0"/>
        <w:overflowPunct/>
        <w:autoSpaceDN w:val="0"/>
        <w:bidi w:val="0"/>
        <w:adjustRightInd w:val="0"/>
        <w:snapToGrid w:val="0"/>
        <w:spacing w:line="540" w:lineRule="exact"/>
        <w:textAlignment w:val="baseline"/>
        <w:rPr>
          <w:rFonts w:hint="default" w:ascii="Times New Roman" w:hAnsi="Times New Roman" w:eastAsia="仿宋_GB2312" w:cs="Times New Roman"/>
          <w:color w:val="auto"/>
          <w:spacing w:val="-7"/>
          <w:sz w:val="32"/>
          <w:szCs w:val="32"/>
          <w:highlight w:val="none"/>
        </w:rPr>
      </w:pPr>
      <w:r>
        <w:rPr>
          <w:rFonts w:hint="eastAsia" w:ascii="Times New Roman" w:hAnsi="Times New Roman" w:eastAsia="仿宋_GB2312" w:cs="Times New Roman"/>
          <w:color w:val="auto"/>
          <w:spacing w:val="0"/>
          <w:kern w:val="0"/>
          <w:sz w:val="32"/>
          <w:szCs w:val="32"/>
          <w:highlight w:val="none"/>
          <w:lang w:val="en-US" w:eastAsia="zh-CN"/>
        </w:rPr>
        <w:t>综上所述，当事人的行为违反了</w:t>
      </w:r>
      <w:r>
        <w:rPr>
          <w:rFonts w:hint="eastAsia" w:ascii="Times New Roman" w:hAnsi="Times New Roman" w:eastAsia="仿宋_GB2312" w:cs="Times New Roman"/>
          <w:color w:val="auto"/>
          <w:spacing w:val="0"/>
          <w:w w:val="100"/>
          <w:sz w:val="32"/>
          <w:szCs w:val="32"/>
          <w:highlight w:val="none"/>
          <w:u w:val="none"/>
          <w:lang w:val="en-US" w:eastAsia="zh-CN"/>
        </w:rPr>
        <w:t>《中华人民共和国价格法》第十三条第一款</w:t>
      </w:r>
      <w:r>
        <w:rPr>
          <w:rFonts w:hint="eastAsia" w:ascii="Times New Roman" w:hAnsi="Times New Roman" w:eastAsia="仿宋_GB2312" w:cs="Times New Roman"/>
          <w:snapToGrid w:val="0"/>
          <w:color w:val="auto"/>
          <w:spacing w:val="0"/>
          <w:kern w:val="0"/>
          <w:sz w:val="32"/>
          <w:szCs w:val="32"/>
          <w:highlight w:val="none"/>
          <w:lang w:val="en-US" w:eastAsia="zh-CN" w:bidi="ar-SA"/>
        </w:rPr>
        <w:t>的规定，</w:t>
      </w:r>
      <w:r>
        <w:rPr>
          <w:rFonts w:hint="eastAsia" w:ascii="Times New Roman" w:hAnsi="Times New Roman" w:eastAsia="仿宋_GB2312" w:cs="Times New Roman"/>
          <w:color w:val="auto"/>
          <w:spacing w:val="0"/>
          <w:kern w:val="0"/>
          <w:sz w:val="32"/>
          <w:szCs w:val="32"/>
          <w:highlight w:val="none"/>
          <w:lang w:val="en-US" w:eastAsia="zh-CN"/>
        </w:rPr>
        <w:t>依据</w:t>
      </w:r>
      <w:r>
        <w:rPr>
          <w:rFonts w:hint="eastAsia" w:ascii="Times New Roman" w:hAnsi="Times New Roman" w:eastAsia="仿宋_GB2312" w:cs="Times New Roman"/>
          <w:color w:val="auto"/>
          <w:spacing w:val="0"/>
          <w:w w:val="100"/>
          <w:sz w:val="32"/>
          <w:szCs w:val="32"/>
          <w:highlight w:val="none"/>
          <w:u w:val="none"/>
          <w:lang w:val="en-US" w:eastAsia="zh-CN"/>
        </w:rPr>
        <w:t>《中华人民共和国价格法》第四十二条</w:t>
      </w:r>
      <w:r>
        <w:rPr>
          <w:rFonts w:hint="eastAsia" w:ascii="Times New Roman" w:hAnsi="Times New Roman" w:eastAsia="仿宋_GB2312" w:cs="Times New Roman"/>
          <w:color w:val="auto"/>
          <w:spacing w:val="0"/>
          <w:kern w:val="0"/>
          <w:sz w:val="32"/>
          <w:szCs w:val="32"/>
          <w:highlight w:val="none"/>
          <w:lang w:val="en-US" w:eastAsia="zh-CN"/>
        </w:rPr>
        <w:t>的规定，本机关决定</w:t>
      </w:r>
      <w:r>
        <w:rPr>
          <w:rFonts w:hint="default" w:ascii="Times New Roman" w:hAnsi="Times New Roman" w:eastAsia="仿宋_GB2312" w:cs="Times New Roman"/>
          <w:color w:val="auto"/>
          <w:spacing w:val="0"/>
          <w:kern w:val="0"/>
          <w:sz w:val="32"/>
          <w:szCs w:val="32"/>
          <w:highlight w:val="none"/>
        </w:rPr>
        <w:t>责令</w:t>
      </w:r>
      <w:r>
        <w:rPr>
          <w:rFonts w:hint="eastAsia" w:ascii="Times New Roman" w:hAnsi="Times New Roman" w:eastAsia="仿宋_GB2312" w:cs="Times New Roman"/>
          <w:color w:val="auto"/>
          <w:spacing w:val="0"/>
          <w:kern w:val="0"/>
          <w:sz w:val="32"/>
          <w:szCs w:val="32"/>
          <w:highlight w:val="none"/>
          <w:lang w:eastAsia="zh-CN"/>
        </w:rPr>
        <w:t>当事人</w:t>
      </w:r>
      <w:r>
        <w:rPr>
          <w:rFonts w:hint="default" w:ascii="Times New Roman" w:hAnsi="Times New Roman" w:eastAsia="仿宋_GB2312" w:cs="Times New Roman"/>
          <w:color w:val="auto"/>
          <w:spacing w:val="0"/>
          <w:kern w:val="0"/>
          <w:sz w:val="32"/>
          <w:szCs w:val="32"/>
          <w:highlight w:val="none"/>
        </w:rPr>
        <w:t>立即改正上述违法行为，</w:t>
      </w:r>
      <w:r>
        <w:rPr>
          <w:rFonts w:hint="eastAsia" w:ascii="Times New Roman" w:hAnsi="Times New Roman" w:eastAsia="仿宋_GB2312" w:cs="Times New Roman"/>
          <w:color w:val="auto"/>
          <w:spacing w:val="0"/>
          <w:w w:val="100"/>
          <w:sz w:val="32"/>
          <w:szCs w:val="32"/>
          <w:highlight w:val="none"/>
          <w:u w:val="none"/>
          <w:lang w:val="en-US" w:eastAsia="zh-CN"/>
        </w:rPr>
        <w:t>并处750元的罚款。</w:t>
      </w:r>
    </w:p>
    <w:p w14:paraId="4CAD5EFD">
      <w:pPr>
        <w:pStyle w:val="2"/>
        <w:keepNext w:val="0"/>
        <w:keepLines w:val="0"/>
        <w:pageBreakBefore w:val="0"/>
        <w:widowControl w:val="0"/>
        <w:kinsoku/>
        <w:wordWrap/>
        <w:overflowPunct/>
        <w:topLinePunct/>
        <w:autoSpaceDE w:val="0"/>
        <w:autoSpaceDN/>
        <w:bidi w:val="0"/>
        <w:adjustRightInd/>
        <w:snapToGrid/>
        <w:spacing w:line="540" w:lineRule="exact"/>
        <w:ind w:firstLine="64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请于收到本处罚决定书之日起十五日内，凭</w:t>
      </w:r>
      <w:r>
        <w:rPr>
          <w:rFonts w:hint="eastAsia" w:ascii="仿宋_GB2312" w:hAnsi="仿宋_GB2312" w:eastAsia="仿宋_GB2312" w:cs="仿宋_GB2312"/>
          <w:color w:val="auto"/>
          <w:sz w:val="32"/>
          <w:szCs w:val="32"/>
          <w:highlight w:val="none"/>
          <w:u w:val="single"/>
        </w:rPr>
        <w:t>新疆生产建设兵团</w:t>
      </w:r>
      <w:r>
        <w:rPr>
          <w:rFonts w:hint="eastAsia" w:ascii="仿宋_GB2312" w:hAnsi="仿宋_GB2312" w:eastAsia="仿宋_GB2312" w:cs="仿宋_GB2312"/>
          <w:color w:val="auto"/>
          <w:sz w:val="32"/>
          <w:szCs w:val="32"/>
          <w:highlight w:val="none"/>
        </w:rPr>
        <w:t>非税收入电子缴款通知书的缴款识别码到</w:t>
      </w:r>
      <w:r>
        <w:rPr>
          <w:rFonts w:hint="eastAsia" w:ascii="仿宋_GB2312" w:hAnsi="仿宋_GB2312" w:eastAsia="仿宋_GB2312" w:cs="仿宋_GB2312"/>
          <w:color w:val="auto"/>
          <w:sz w:val="32"/>
          <w:szCs w:val="32"/>
          <w:highlight w:val="none"/>
          <w:u w:val="single"/>
        </w:rPr>
        <w:t>指定</w:t>
      </w:r>
      <w:r>
        <w:rPr>
          <w:rFonts w:hint="eastAsia" w:ascii="仿宋_GB2312" w:hAnsi="仿宋_GB2312" w:eastAsia="仿宋_GB2312" w:cs="仿宋_GB2312"/>
          <w:color w:val="auto"/>
          <w:sz w:val="32"/>
          <w:szCs w:val="32"/>
          <w:highlight w:val="none"/>
        </w:rPr>
        <w:t>银行或者通过电子支付系统缴纳罚没款。逾期不缴纳罚款的，依据《中华人民共和国行政处罚法》第七十二条的规定，本局将每日按罚款数额的百分之三加处罚款，并依法申请人民法院强制执行。</w:t>
      </w:r>
    </w:p>
    <w:p w14:paraId="1517704D">
      <w:pPr>
        <w:pStyle w:val="5"/>
        <w:keepNext w:val="0"/>
        <w:keepLines w:val="0"/>
        <w:pageBreakBefore w:val="0"/>
        <w:widowControl w:val="0"/>
        <w:kinsoku/>
        <w:wordWrap/>
        <w:overflowPunct/>
        <w:topLinePunct/>
        <w:autoSpaceDE w:val="0"/>
        <w:autoSpaceDN/>
        <w:bidi w:val="0"/>
        <w:adjustRightInd/>
        <w:snapToGrid/>
        <w:spacing w:line="540" w:lineRule="exact"/>
        <w:ind w:firstLine="640"/>
        <w:jc w:val="both"/>
        <w:textAlignment w:val="auto"/>
        <w:rPr>
          <w:rFonts w:hint="default" w:ascii="Times New Roman" w:hAnsi="Times New Roman" w:eastAsia="仿宋_GB2312" w:cs="Times New Roman"/>
          <w:color w:val="auto"/>
          <w:sz w:val="32"/>
          <w:szCs w:val="32"/>
          <w:highlight w:val="none"/>
        </w:rPr>
      </w:pPr>
      <w:r>
        <w:rPr>
          <w:rFonts w:hint="eastAsia" w:ascii="仿宋_GB2312" w:hAnsi="仿宋_GB2312" w:eastAsia="仿宋_GB2312" w:cs="仿宋_GB2312"/>
          <w:color w:val="auto"/>
          <w:spacing w:val="0"/>
          <w:kern w:val="0"/>
          <w:sz w:val="32"/>
          <w:szCs w:val="32"/>
          <w:highlight w:val="none"/>
        </w:rPr>
        <w:t>如</w:t>
      </w:r>
      <w:r>
        <w:rPr>
          <w:rFonts w:hint="eastAsia" w:ascii="仿宋_GB2312" w:hAnsi="仿宋_GB2312" w:cs="仿宋_GB2312"/>
          <w:color w:val="auto"/>
          <w:spacing w:val="0"/>
          <w:kern w:val="0"/>
          <w:sz w:val="32"/>
          <w:szCs w:val="32"/>
          <w:highlight w:val="none"/>
          <w:lang w:val="en-US" w:eastAsia="zh-CN"/>
        </w:rPr>
        <w:t>你（单位）</w:t>
      </w:r>
      <w:r>
        <w:rPr>
          <w:rFonts w:hint="eastAsia" w:ascii="仿宋_GB2312" w:hAnsi="仿宋_GB2312" w:eastAsia="仿宋_GB2312" w:cs="仿宋_GB2312"/>
          <w:color w:val="auto"/>
          <w:spacing w:val="0"/>
          <w:kern w:val="0"/>
          <w:sz w:val="32"/>
          <w:szCs w:val="32"/>
          <w:highlight w:val="none"/>
        </w:rPr>
        <w:t>不服本行政处罚决定，可在收到本决定书之日起</w:t>
      </w:r>
      <w:r>
        <w:rPr>
          <w:rFonts w:hint="eastAsia" w:ascii="仿宋_GB2312" w:hAnsi="仿宋_GB2312" w:cs="仿宋_GB2312"/>
          <w:color w:val="auto"/>
          <w:spacing w:val="0"/>
          <w:kern w:val="0"/>
          <w:sz w:val="32"/>
          <w:szCs w:val="32"/>
          <w:highlight w:val="none"/>
          <w:u w:val="single"/>
          <w:lang w:val="en-US" w:eastAsia="zh-CN"/>
        </w:rPr>
        <w:t>六十日</w:t>
      </w:r>
      <w:r>
        <w:rPr>
          <w:rFonts w:hint="eastAsia" w:ascii="仿宋_GB2312" w:hAnsi="仿宋_GB2312" w:eastAsia="仿宋_GB2312" w:cs="仿宋_GB2312"/>
          <w:color w:val="auto"/>
          <w:spacing w:val="0"/>
          <w:kern w:val="0"/>
          <w:sz w:val="32"/>
          <w:szCs w:val="32"/>
          <w:highlight w:val="none"/>
        </w:rPr>
        <w:t>内向</w:t>
      </w:r>
      <w:r>
        <w:rPr>
          <w:rFonts w:hint="eastAsia" w:ascii="仿宋_GB2312" w:hAnsi="仿宋_GB2312" w:cs="仿宋_GB2312"/>
          <w:color w:val="auto"/>
          <w:spacing w:val="0"/>
          <w:kern w:val="0"/>
          <w:sz w:val="32"/>
          <w:szCs w:val="32"/>
          <w:highlight w:val="none"/>
          <w:u w:val="single"/>
          <w:lang w:val="en-US" w:eastAsia="zh-CN"/>
        </w:rPr>
        <w:t>新疆生产建设兵团市场监督管理局</w:t>
      </w:r>
      <w:r>
        <w:rPr>
          <w:rFonts w:hint="eastAsia" w:ascii="仿宋_GB2312" w:hAnsi="仿宋_GB2312" w:eastAsia="仿宋_GB2312" w:cs="仿宋_GB2312"/>
          <w:color w:val="auto"/>
          <w:spacing w:val="0"/>
          <w:kern w:val="0"/>
          <w:sz w:val="32"/>
          <w:szCs w:val="32"/>
          <w:highlight w:val="none"/>
        </w:rPr>
        <w:t>申请行政复议，对行政复议决定不服的</w:t>
      </w:r>
      <w:r>
        <w:rPr>
          <w:rFonts w:hint="eastAsia" w:ascii="仿宋_GB2312" w:hAnsi="仿宋_GB2312" w:cs="仿宋_GB2312"/>
          <w:color w:val="auto"/>
          <w:spacing w:val="0"/>
          <w:kern w:val="0"/>
          <w:sz w:val="32"/>
          <w:szCs w:val="32"/>
          <w:highlight w:val="none"/>
          <w:lang w:eastAsia="zh-CN"/>
        </w:rPr>
        <w:t>，</w:t>
      </w:r>
      <w:r>
        <w:rPr>
          <w:rFonts w:hint="eastAsia" w:ascii="仿宋_GB2312" w:hAnsi="仿宋_GB2312" w:eastAsia="仿宋_GB2312" w:cs="仿宋_GB2312"/>
          <w:color w:val="auto"/>
          <w:spacing w:val="0"/>
          <w:kern w:val="0"/>
          <w:sz w:val="32"/>
          <w:szCs w:val="32"/>
          <w:highlight w:val="none"/>
        </w:rPr>
        <w:t>可以在</w:t>
      </w:r>
      <w:r>
        <w:rPr>
          <w:rFonts w:hint="eastAsia" w:ascii="仿宋_GB2312" w:hAnsi="仿宋_GB2312" w:cs="仿宋_GB2312"/>
          <w:color w:val="auto"/>
          <w:spacing w:val="0"/>
          <w:kern w:val="0"/>
          <w:sz w:val="32"/>
          <w:szCs w:val="32"/>
          <w:highlight w:val="none"/>
          <w:u w:val="single"/>
          <w:lang w:val="en-US" w:eastAsia="zh-CN"/>
        </w:rPr>
        <w:t>十五日</w:t>
      </w:r>
      <w:r>
        <w:rPr>
          <w:rFonts w:hint="eastAsia" w:ascii="仿宋_GB2312" w:hAnsi="仿宋_GB2312" w:eastAsia="仿宋_GB2312" w:cs="仿宋_GB2312"/>
          <w:color w:val="auto"/>
          <w:spacing w:val="0"/>
          <w:kern w:val="0"/>
          <w:sz w:val="32"/>
          <w:szCs w:val="32"/>
          <w:highlight w:val="none"/>
        </w:rPr>
        <w:t>内依法向</w:t>
      </w:r>
      <w:r>
        <w:rPr>
          <w:rFonts w:hint="eastAsia" w:ascii="仿宋_GB2312" w:hAnsi="仿宋_GB2312" w:eastAsia="仿宋_GB2312" w:cs="仿宋_GB2312"/>
          <w:color w:val="auto"/>
          <w:spacing w:val="0"/>
          <w:kern w:val="0"/>
          <w:sz w:val="32"/>
          <w:szCs w:val="32"/>
          <w:highlight w:val="none"/>
          <w:u w:val="single"/>
          <w:lang w:val="en-US" w:eastAsia="zh-CN"/>
        </w:rPr>
        <w:t>新疆生产建设兵团</w:t>
      </w:r>
      <w:r>
        <w:rPr>
          <w:rFonts w:hint="eastAsia" w:ascii="仿宋_GB2312" w:hAnsi="仿宋_GB2312" w:eastAsia="仿宋_GB2312" w:cs="仿宋_GB2312"/>
          <w:color w:val="auto"/>
          <w:spacing w:val="0"/>
          <w:kern w:val="0"/>
          <w:sz w:val="32"/>
          <w:szCs w:val="32"/>
          <w:highlight w:val="none"/>
          <w:u w:val="single"/>
        </w:rPr>
        <w:t>和田垦区人民法院</w:t>
      </w:r>
      <w:r>
        <w:rPr>
          <w:rFonts w:hint="eastAsia" w:ascii="仿宋_GB2312" w:hAnsi="仿宋_GB2312" w:eastAsia="仿宋_GB2312" w:cs="仿宋_GB2312"/>
          <w:color w:val="auto"/>
          <w:spacing w:val="0"/>
          <w:kern w:val="0"/>
          <w:sz w:val="32"/>
          <w:szCs w:val="32"/>
          <w:highlight w:val="none"/>
        </w:rPr>
        <w:t>提起行政诉讼。复议和诉讼期间，行政处罚不停止执行。</w:t>
      </w:r>
    </w:p>
    <w:p w14:paraId="1826BB5C">
      <w:pPr>
        <w:keepNext w:val="0"/>
        <w:keepLines w:val="0"/>
        <w:pageBreakBefore w:val="0"/>
        <w:widowControl w:val="0"/>
        <w:tabs>
          <w:tab w:val="left" w:pos="5667"/>
        </w:tabs>
        <w:kinsoku/>
        <w:wordWrap/>
        <w:topLinePunct/>
        <w:autoSpaceDE w:val="0"/>
        <w:autoSpaceDN/>
        <w:bidi w:val="0"/>
        <w:spacing w:line="540" w:lineRule="exact"/>
        <w:ind w:firstLine="3817" w:firstLineChars="1193"/>
        <w:textAlignment w:val="auto"/>
        <w:rPr>
          <w:rFonts w:hint="default" w:ascii="Times New Roman" w:hAnsi="Times New Roman" w:eastAsia="仿宋_GB2312" w:cs="Times New Roman"/>
          <w:color w:val="auto"/>
          <w:sz w:val="32"/>
          <w:szCs w:val="32"/>
          <w:highlight w:val="none"/>
        </w:rPr>
      </w:pPr>
    </w:p>
    <w:p w14:paraId="435D0580">
      <w:pPr>
        <w:keepNext w:val="0"/>
        <w:keepLines w:val="0"/>
        <w:pageBreakBefore w:val="0"/>
        <w:widowControl w:val="0"/>
        <w:tabs>
          <w:tab w:val="left" w:pos="5667"/>
        </w:tabs>
        <w:kinsoku/>
        <w:wordWrap/>
        <w:topLinePunct/>
        <w:autoSpaceDE w:val="0"/>
        <w:autoSpaceDN/>
        <w:bidi w:val="0"/>
        <w:spacing w:line="540" w:lineRule="exact"/>
        <w:ind w:firstLine="3817" w:firstLineChars="1193"/>
        <w:textAlignment w:val="auto"/>
        <w:rPr>
          <w:rFonts w:hint="default" w:ascii="Times New Roman" w:hAnsi="Times New Roman" w:eastAsia="仿宋_GB2312" w:cs="Times New Roman"/>
          <w:color w:val="auto"/>
          <w:sz w:val="32"/>
          <w:szCs w:val="32"/>
          <w:highlight w:val="none"/>
        </w:rPr>
      </w:pPr>
    </w:p>
    <w:p w14:paraId="05B8D311">
      <w:pPr>
        <w:keepNext w:val="0"/>
        <w:keepLines w:val="0"/>
        <w:pageBreakBefore w:val="0"/>
        <w:widowControl w:val="0"/>
        <w:tabs>
          <w:tab w:val="left" w:pos="5667"/>
        </w:tabs>
        <w:kinsoku/>
        <w:wordWrap/>
        <w:topLinePunct/>
        <w:autoSpaceDE w:val="0"/>
        <w:autoSpaceDN/>
        <w:bidi w:val="0"/>
        <w:spacing w:line="540" w:lineRule="exact"/>
        <w:ind w:firstLine="3817" w:firstLineChars="1193"/>
        <w:textAlignment w:val="auto"/>
        <w:rPr>
          <w:rFonts w:hint="eastAsia"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rPr>
        <w:t>第十四师市场监督管理局</w:t>
      </w:r>
    </w:p>
    <w:p w14:paraId="6438599F">
      <w:pPr>
        <w:keepNext w:val="0"/>
        <w:keepLines w:val="0"/>
        <w:pageBreakBefore w:val="0"/>
        <w:widowControl w:val="0"/>
        <w:tabs>
          <w:tab w:val="left" w:pos="5667"/>
        </w:tabs>
        <w:kinsoku/>
        <w:wordWrap/>
        <w:topLinePunct/>
        <w:autoSpaceDE w:val="0"/>
        <w:autoSpaceDN/>
        <w:bidi w:val="0"/>
        <w:spacing w:line="540" w:lineRule="exact"/>
        <w:ind w:firstLine="5120" w:firstLineChars="16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（印章）</w:t>
      </w:r>
    </w:p>
    <w:p w14:paraId="4204303E">
      <w:pPr>
        <w:keepNext w:val="0"/>
        <w:keepLines w:val="0"/>
        <w:pageBreakBefore w:val="0"/>
        <w:widowControl w:val="0"/>
        <w:kinsoku/>
        <w:wordWrap/>
        <w:overflowPunct/>
        <w:topLinePunct/>
        <w:autoSpaceDE/>
        <w:autoSpaceDN/>
        <w:bidi w:val="0"/>
        <w:adjustRightInd w:val="0"/>
        <w:snapToGrid w:val="0"/>
        <w:spacing w:line="540" w:lineRule="exact"/>
        <w:ind w:right="0" w:firstLine="4480" w:firstLineChars="1400"/>
        <w:jc w:val="both"/>
        <w:textAlignment w:val="baseline"/>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202</w:t>
      </w:r>
      <w:r>
        <w:rPr>
          <w:rFonts w:hint="eastAsia" w:ascii="Times New Roman" w:hAnsi="Times New Roman" w:eastAsia="仿宋_GB2312" w:cs="Times New Roman"/>
          <w:color w:val="auto"/>
          <w:sz w:val="32"/>
          <w:szCs w:val="32"/>
          <w:highlight w:val="none"/>
          <w:lang w:val="en-US" w:eastAsia="zh-CN"/>
        </w:rPr>
        <w:t>6</w:t>
      </w:r>
      <w:r>
        <w:rPr>
          <w:rFonts w:hint="default" w:ascii="Times New Roman" w:hAnsi="Times New Roman" w:eastAsia="仿宋_GB2312" w:cs="Times New Roman"/>
          <w:color w:val="auto"/>
          <w:sz w:val="32"/>
          <w:szCs w:val="32"/>
          <w:highlight w:val="none"/>
        </w:rPr>
        <w:t>年</w:t>
      </w:r>
      <w:r>
        <w:rPr>
          <w:rFonts w:hint="eastAsia"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rPr>
        <w:t>月</w:t>
      </w:r>
      <w:r>
        <w:rPr>
          <w:rFonts w:hint="eastAsia" w:ascii="Times New Roman" w:hAnsi="Times New Roman" w:eastAsia="仿宋_GB2312" w:cs="Times New Roman"/>
          <w:color w:val="auto"/>
          <w:sz w:val="32"/>
          <w:szCs w:val="32"/>
          <w:highlight w:val="none"/>
          <w:lang w:val="en-US" w:eastAsia="zh-CN"/>
        </w:rPr>
        <w:t>21</w:t>
      </w:r>
      <w:r>
        <w:rPr>
          <w:rFonts w:hint="default" w:ascii="Times New Roman" w:hAnsi="Times New Roman" w:eastAsia="仿宋_GB2312" w:cs="Times New Roman"/>
          <w:color w:val="auto"/>
          <w:sz w:val="32"/>
          <w:szCs w:val="32"/>
          <w:highlight w:val="none"/>
        </w:rPr>
        <w:t>日</w:t>
      </w:r>
    </w:p>
    <w:p w14:paraId="42BB1814">
      <w:pPr>
        <w:pStyle w:val="2"/>
        <w:rPr>
          <w:rFonts w:hint="default" w:ascii="Times New Roman" w:hAnsi="Times New Roman" w:eastAsia="仿宋_GB2312" w:cs="Times New Roman"/>
          <w:color w:val="auto"/>
          <w:sz w:val="32"/>
          <w:szCs w:val="32"/>
          <w:highlight w:val="none"/>
        </w:rPr>
      </w:pPr>
    </w:p>
    <w:p w14:paraId="26B2F472">
      <w:pPr>
        <w:pStyle w:val="2"/>
        <w:rPr>
          <w:rFonts w:hint="default" w:ascii="Times New Roman" w:hAnsi="Times New Roman" w:eastAsia="仿宋_GB2312" w:cs="Times New Roman"/>
          <w:color w:val="auto"/>
          <w:sz w:val="32"/>
          <w:szCs w:val="32"/>
          <w:highlight w:val="none"/>
        </w:rPr>
      </w:pPr>
    </w:p>
    <w:p w14:paraId="3A5C03B0">
      <w:pPr>
        <w:pStyle w:val="2"/>
        <w:rPr>
          <w:rFonts w:hint="default" w:ascii="Times New Roman" w:hAnsi="Times New Roman" w:eastAsia="仿宋_GB2312" w:cs="Times New Roman"/>
          <w:color w:val="auto"/>
          <w:sz w:val="32"/>
          <w:szCs w:val="32"/>
          <w:highlight w:val="none"/>
        </w:rPr>
      </w:pPr>
    </w:p>
    <w:p w14:paraId="7CCE0F68">
      <w:pPr>
        <w:pStyle w:val="2"/>
        <w:rPr>
          <w:rFonts w:hint="default" w:ascii="Times New Roman" w:hAnsi="Times New Roman" w:eastAsia="仿宋_GB2312" w:cs="Times New Roman"/>
          <w:color w:val="auto"/>
          <w:sz w:val="32"/>
          <w:szCs w:val="32"/>
          <w:highlight w:val="none"/>
        </w:rPr>
      </w:pPr>
    </w:p>
    <w:p w14:paraId="5EA8CF8D">
      <w:pPr>
        <w:pStyle w:val="2"/>
        <w:rPr>
          <w:rFonts w:hint="default" w:ascii="Times New Roman" w:hAnsi="Times New Roman" w:eastAsia="仿宋_GB2312" w:cs="Times New Roman"/>
          <w:color w:val="auto"/>
          <w:sz w:val="32"/>
          <w:szCs w:val="32"/>
          <w:highlight w:val="none"/>
        </w:rPr>
      </w:pPr>
    </w:p>
    <w:p w14:paraId="3D18751D">
      <w:pPr>
        <w:pStyle w:val="2"/>
        <w:rPr>
          <w:rFonts w:hint="default" w:ascii="Times New Roman" w:hAnsi="Times New Roman" w:eastAsia="仿宋_GB2312" w:cs="Times New Roman"/>
          <w:color w:val="auto"/>
          <w:sz w:val="32"/>
          <w:szCs w:val="32"/>
          <w:highlight w:val="none"/>
        </w:rPr>
      </w:pPr>
    </w:p>
    <w:p w14:paraId="228E9D6C">
      <w:pPr>
        <w:pStyle w:val="2"/>
        <w:rPr>
          <w:rFonts w:hint="default" w:ascii="Times New Roman" w:hAnsi="Times New Roman" w:eastAsia="仿宋_GB2312" w:cs="Times New Roman"/>
          <w:color w:val="auto"/>
          <w:sz w:val="32"/>
          <w:szCs w:val="32"/>
          <w:highlight w:val="none"/>
        </w:rPr>
      </w:pPr>
    </w:p>
    <w:p w14:paraId="22CC954A">
      <w:pPr>
        <w:pStyle w:val="2"/>
        <w:rPr>
          <w:rFonts w:hint="default" w:ascii="Times New Roman" w:hAnsi="Times New Roman" w:eastAsia="仿宋_GB2312" w:cs="Times New Roman"/>
          <w:color w:val="auto"/>
          <w:sz w:val="32"/>
          <w:szCs w:val="32"/>
          <w:highlight w:val="none"/>
        </w:rPr>
      </w:pPr>
    </w:p>
    <w:p w14:paraId="0BEBFB5B">
      <w:pPr>
        <w:pStyle w:val="2"/>
        <w:rPr>
          <w:rFonts w:hint="default" w:ascii="Times New Roman" w:hAnsi="Times New Roman" w:eastAsia="仿宋_GB2312" w:cs="Times New Roman"/>
          <w:color w:val="auto"/>
          <w:sz w:val="32"/>
          <w:szCs w:val="32"/>
          <w:highlight w:val="none"/>
        </w:rPr>
      </w:pPr>
    </w:p>
    <w:p w14:paraId="5C9C5832">
      <w:pPr>
        <w:pStyle w:val="2"/>
        <w:rPr>
          <w:rFonts w:hint="default" w:ascii="Times New Roman" w:hAnsi="Times New Roman" w:eastAsia="仿宋_GB2312" w:cs="Times New Roman"/>
          <w:color w:val="auto"/>
          <w:sz w:val="32"/>
          <w:szCs w:val="32"/>
          <w:highlight w:val="none"/>
        </w:rPr>
      </w:pPr>
    </w:p>
    <w:p w14:paraId="664B8FE4">
      <w:pPr>
        <w:pStyle w:val="2"/>
        <w:rPr>
          <w:rFonts w:hint="default" w:ascii="Times New Roman" w:hAnsi="Times New Roman" w:eastAsia="仿宋_GB2312" w:cs="Times New Roman"/>
          <w:color w:val="auto"/>
          <w:sz w:val="32"/>
          <w:szCs w:val="32"/>
          <w:highlight w:val="none"/>
        </w:rPr>
      </w:pPr>
    </w:p>
    <w:p w14:paraId="034F32DA">
      <w:pPr>
        <w:pStyle w:val="2"/>
        <w:rPr>
          <w:rFonts w:hint="default" w:ascii="Times New Roman" w:hAnsi="Times New Roman" w:eastAsia="仿宋_GB2312" w:cs="Times New Roman"/>
          <w:color w:val="auto"/>
          <w:sz w:val="32"/>
          <w:szCs w:val="32"/>
          <w:highlight w:val="none"/>
        </w:rPr>
      </w:pPr>
    </w:p>
    <w:p w14:paraId="340CACA7">
      <w:pPr>
        <w:pStyle w:val="2"/>
        <w:rPr>
          <w:rFonts w:hint="default" w:ascii="Times New Roman" w:hAnsi="Times New Roman" w:eastAsia="仿宋_GB2312" w:cs="Times New Roman"/>
          <w:color w:val="auto"/>
          <w:sz w:val="32"/>
          <w:szCs w:val="32"/>
          <w:highlight w:val="none"/>
        </w:rPr>
      </w:pPr>
    </w:p>
    <w:p w14:paraId="59222346">
      <w:pPr>
        <w:pStyle w:val="2"/>
        <w:rPr>
          <w:rFonts w:hint="default" w:ascii="Times New Roman" w:hAnsi="Times New Roman" w:eastAsia="仿宋_GB2312" w:cs="Times New Roman"/>
          <w:color w:val="auto"/>
          <w:sz w:val="32"/>
          <w:szCs w:val="32"/>
          <w:highlight w:val="none"/>
        </w:rPr>
      </w:pPr>
    </w:p>
    <w:p w14:paraId="6C0F0A16">
      <w:pPr>
        <w:pStyle w:val="2"/>
        <w:rPr>
          <w:rFonts w:hint="default" w:ascii="Times New Roman" w:hAnsi="Times New Roman" w:eastAsia="仿宋_GB2312" w:cs="Times New Roman"/>
          <w:color w:val="auto"/>
          <w:sz w:val="32"/>
          <w:szCs w:val="32"/>
          <w:highlight w:val="none"/>
        </w:rPr>
      </w:pPr>
    </w:p>
    <w:p w14:paraId="7DFD1F21">
      <w:pPr>
        <w:pStyle w:val="2"/>
        <w:rPr>
          <w:rFonts w:hint="default" w:ascii="Times New Roman" w:hAnsi="Times New Roman" w:eastAsia="仿宋_GB2312" w:cs="Times New Roman"/>
          <w:color w:val="auto"/>
          <w:sz w:val="32"/>
          <w:szCs w:val="32"/>
          <w:highlight w:val="none"/>
        </w:rPr>
      </w:pPr>
    </w:p>
    <w:p w14:paraId="00F7E164">
      <w:pPr>
        <w:pStyle w:val="2"/>
        <w:ind w:left="0" w:leftChars="0" w:firstLine="0" w:firstLineChars="0"/>
        <w:rPr>
          <w:rFonts w:hint="default" w:ascii="Times New Roman" w:hAnsi="Times New Roman" w:eastAsia="仿宋_GB2312" w:cs="Times New Roman"/>
          <w:color w:val="auto"/>
          <w:sz w:val="32"/>
          <w:szCs w:val="32"/>
          <w:highlight w:val="none"/>
        </w:rPr>
      </w:pPr>
      <w:bookmarkStart w:id="2" w:name="_GoBack"/>
      <w:bookmarkEnd w:id="2"/>
    </w:p>
    <w:p w14:paraId="6BF755EE">
      <w:pPr>
        <w:pStyle w:val="2"/>
        <w:rPr>
          <w:rFonts w:hint="default" w:ascii="Times New Roman" w:hAnsi="Times New Roman" w:eastAsia="仿宋_GB2312" w:cs="Times New Roman"/>
          <w:color w:val="auto"/>
          <w:sz w:val="32"/>
          <w:szCs w:val="32"/>
          <w:highlight w:val="none"/>
        </w:rPr>
      </w:pPr>
    </w:p>
    <w:p w14:paraId="0FAA720D">
      <w:pPr>
        <w:pStyle w:val="2"/>
        <w:rPr>
          <w:rFonts w:hint="default" w:ascii="Times New Roman" w:hAnsi="Times New Roman" w:eastAsia="仿宋_GB2312" w:cs="Times New Roman"/>
          <w:color w:val="auto"/>
          <w:sz w:val="32"/>
          <w:szCs w:val="32"/>
          <w:highlight w:val="none"/>
        </w:rPr>
      </w:pPr>
    </w:p>
    <w:p w14:paraId="40715CE5">
      <w:pPr>
        <w:keepNext w:val="0"/>
        <w:keepLines w:val="0"/>
        <w:pageBreakBefore w:val="0"/>
        <w:widowControl w:val="0"/>
        <w:kinsoku/>
        <w:wordWrap/>
        <w:overflowPunct w:val="0"/>
        <w:topLinePunct w:val="0"/>
        <w:autoSpaceDE w:val="0"/>
        <w:autoSpaceDN w:val="0"/>
        <w:bidi w:val="0"/>
        <w:spacing w:line="540" w:lineRule="exact"/>
        <w:jc w:val="distribute"/>
        <w:rPr>
          <w:rFonts w:hint="default" w:ascii="Times New Roman" w:hAnsi="Times New Roman" w:cs="Times New Roman"/>
          <w:color w:val="auto"/>
        </w:rPr>
      </w:pPr>
      <w:r>
        <w:rPr>
          <w:rFonts w:hint="default" w:ascii="Times New Roman" w:hAnsi="Times New Roman" w:eastAsia="黑体" w:cs="Times New Roman"/>
          <w:color w:val="auto"/>
          <w:spacing w:val="-31"/>
          <w:w w:val="119"/>
          <w:sz w:val="32"/>
          <w:szCs w:val="32"/>
        </w:rPr>
        <w:t>（市场监督管理部门将依法向社会公开行政处罚决定信息）</w:t>
      </w:r>
      <w:r>
        <w:rPr>
          <w:rFonts w:hint="default" w:ascii="Times New Roman" w:hAnsi="Times New Roman" w:cs="Times New Roman"/>
          <w:color w:val="auto"/>
        </w:rPr>
        <w:drawing>
          <wp:inline distT="0" distB="0" distL="0" distR="0">
            <wp:extent cx="5550535" cy="15875"/>
            <wp:effectExtent l="0" t="0" r="0" b="0"/>
            <wp:docPr id="1" name="IM 229"/>
            <wp:cNvGraphicFramePr/>
            <a:graphic xmlns:a="http://schemas.openxmlformats.org/drawingml/2006/main">
              <a:graphicData uri="http://schemas.openxmlformats.org/drawingml/2006/picture">
                <pic:pic xmlns:pic="http://schemas.openxmlformats.org/drawingml/2006/picture">
                  <pic:nvPicPr>
                    <pic:cNvPr id="1" name="IM 229"/>
                    <pic:cNvPicPr/>
                  </pic:nvPicPr>
                  <pic:blipFill>
                    <a:blip r:embed="rId4"/>
                    <a:stretch>
                      <a:fillRect/>
                    </a:stretch>
                  </pic:blipFill>
                  <pic:spPr>
                    <a:xfrm>
                      <a:off x="0" y="0"/>
                      <a:ext cx="5550535" cy="16509"/>
                    </a:xfrm>
                    <a:prstGeom prst="rect">
                      <a:avLst/>
                    </a:prstGeom>
                  </pic:spPr>
                </pic:pic>
              </a:graphicData>
            </a:graphic>
          </wp:inline>
        </w:drawing>
      </w:r>
    </w:p>
    <w:p w14:paraId="01C50D1F">
      <w:pPr>
        <w:keepNext w:val="0"/>
        <w:keepLines w:val="0"/>
        <w:pageBreakBefore w:val="0"/>
        <w:wordWrap/>
        <w:topLinePunct w:val="0"/>
        <w:autoSpaceDE w:val="0"/>
        <w:autoSpaceDN w:val="0"/>
        <w:bidi w:val="0"/>
        <w:spacing w:line="540" w:lineRule="exact"/>
        <w:ind w:firstLine="600" w:firstLineChars="200"/>
        <w:rPr>
          <w:rFonts w:hint="eastAsia" w:ascii="Times New Roman" w:hAnsi="Times New Roman" w:eastAsia="仿宋" w:cs="Times New Roman"/>
          <w:color w:val="auto"/>
          <w:spacing w:val="-7"/>
          <w:sz w:val="32"/>
          <w:szCs w:val="32"/>
          <w:highlight w:val="none"/>
          <w:lang w:eastAsia="zh-CN"/>
        </w:rPr>
      </w:pPr>
      <w:r>
        <w:rPr>
          <w:rFonts w:hint="default" w:ascii="Times New Roman" w:hAnsi="Times New Roman" w:eastAsia="仿宋" w:cs="Times New Roman"/>
          <w:color w:val="auto"/>
          <w:spacing w:val="-10"/>
          <w:sz w:val="32"/>
          <w:szCs w:val="32"/>
        </w:rPr>
        <w:t>本文书一式</w:t>
      </w:r>
      <w:r>
        <w:rPr>
          <w:rFonts w:hint="default" w:ascii="Times New Roman" w:hAnsi="Times New Roman" w:eastAsia="仿宋" w:cs="Times New Roman"/>
          <w:color w:val="auto"/>
          <w:spacing w:val="6"/>
          <w:sz w:val="32"/>
          <w:szCs w:val="32"/>
          <w:u w:val="single"/>
        </w:rPr>
        <w:t>二</w:t>
      </w:r>
      <w:r>
        <w:rPr>
          <w:rFonts w:hint="default" w:ascii="Times New Roman" w:hAnsi="Times New Roman" w:eastAsia="仿宋" w:cs="Times New Roman"/>
          <w:color w:val="auto"/>
          <w:spacing w:val="-10"/>
          <w:sz w:val="32"/>
          <w:szCs w:val="32"/>
        </w:rPr>
        <w:t>份，</w:t>
      </w:r>
      <w:r>
        <w:rPr>
          <w:rFonts w:hint="default" w:ascii="Times New Roman" w:hAnsi="Times New Roman" w:eastAsia="仿宋" w:cs="Times New Roman"/>
          <w:color w:val="auto"/>
          <w:spacing w:val="20"/>
          <w:sz w:val="32"/>
          <w:szCs w:val="32"/>
          <w:u w:val="single"/>
        </w:rPr>
        <w:t>一</w:t>
      </w:r>
      <w:r>
        <w:rPr>
          <w:rFonts w:hint="default" w:ascii="Times New Roman" w:hAnsi="Times New Roman" w:eastAsia="仿宋" w:cs="Times New Roman"/>
          <w:color w:val="auto"/>
          <w:spacing w:val="-10"/>
          <w:sz w:val="32"/>
          <w:szCs w:val="32"/>
        </w:rPr>
        <w:t>份送达，一份归档，</w:t>
      </w:r>
      <w:r>
        <w:rPr>
          <w:rFonts w:hint="eastAsia" w:ascii="Times New Roman" w:hAnsi="Times New Roman" w:eastAsia="仿宋" w:cs="Times New Roman"/>
          <w:color w:val="auto"/>
          <w:spacing w:val="-10"/>
          <w:sz w:val="32"/>
          <w:szCs w:val="32"/>
          <w:u w:val="single"/>
          <w:lang w:val="en-US" w:eastAsia="zh-CN"/>
        </w:rPr>
        <w:t xml:space="preserve">     </w:t>
      </w:r>
      <w:r>
        <w:rPr>
          <w:rFonts w:hint="default" w:ascii="Times New Roman" w:hAnsi="Times New Roman" w:eastAsia="仿宋" w:cs="Times New Roman"/>
          <w:color w:val="auto"/>
          <w:spacing w:val="3"/>
          <w:sz w:val="32"/>
          <w:szCs w:val="32"/>
          <w:u w:val="single"/>
        </w:rPr>
        <w:t>/</w:t>
      </w:r>
      <w:r>
        <w:rPr>
          <w:rFonts w:hint="eastAsia" w:ascii="Times New Roman" w:hAnsi="Times New Roman" w:eastAsia="仿宋" w:cs="Times New Roman"/>
          <w:color w:val="auto"/>
          <w:spacing w:val="3"/>
          <w:sz w:val="32"/>
          <w:szCs w:val="32"/>
          <w:u w:val="single"/>
          <w:lang w:val="en-US" w:eastAsia="zh-CN"/>
        </w:rPr>
        <w:t xml:space="preserve">      </w:t>
      </w:r>
      <w:r>
        <w:rPr>
          <w:rFonts w:hint="default" w:ascii="Times New Roman" w:hAnsi="Times New Roman" w:eastAsia="仿宋" w:cs="Times New Roman"/>
          <w:color w:val="auto"/>
          <w:spacing w:val="-10"/>
          <w:sz w:val="32"/>
          <w:szCs w:val="32"/>
        </w:rPr>
        <w:t>。</w:t>
      </w:r>
    </w:p>
    <w:p w14:paraId="21AE0EE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2737F5"/>
    <w:rsid w:val="292737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pPr>
    <w:rPr>
      <w:rFonts w:ascii="Arial" w:hAnsi="Arial" w:eastAsia="Arial" w:cs="Arial"/>
      <w:color w:val="000000"/>
      <w:sz w:val="21"/>
      <w:szCs w:val="21"/>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customStyle="1" w:styleId="5">
    <w:name w:val="正文+1"/>
    <w:basedOn w:val="1"/>
    <w:qFormat/>
    <w:uiPriority w:val="0"/>
    <w:pPr>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3</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2026-01-22T02:11:00Z</dcterms:created>
  <dc:creator>汪**</dc:creator>
  <cp:lastModifiedBy>汪**</cp:lastModifiedBy>
  <dcterms:modified xsi:type="dcterms:W3CDTF">2026-01-22T02:18:27Z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7F72ABA1A09A481882C18D126F70F7FB_11</vt:lpwstr>
  </property>
  <property fmtid="{D5CDD505-2E9C-101B-9397-08002B2CF9AE}" pid="4" name="KSOTemplateDocerSaveRecord">
    <vt:lpwstr>eyJoZGlkIjoiOWU0NDlmZTFlMzg4YzliZGMyYmIxNmQzNTM4NzMzZTMiLCJ1c2VySWQiOiIzOTA1NTQyMzYifQ==</vt:lpwstr>
  </property>
</Properties>
</file>