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A05BCD">
      <w:pPr>
        <w:spacing w:line="640" w:lineRule="exact"/>
        <w:jc w:val="center"/>
        <w:rPr>
          <w:rFonts w:ascii="Times New Roman" w:hAnsi="Times New Roman" w:eastAsia="方正小标宋简体" w:cs="Times New Roman"/>
          <w:kern w:val="0"/>
          <w:sz w:val="44"/>
          <w:szCs w:val="44"/>
        </w:rPr>
      </w:pPr>
    </w:p>
    <w:p w14:paraId="3ED2867F">
      <w:pPr>
        <w:spacing w:line="640" w:lineRule="exact"/>
        <w:jc w:val="center"/>
        <w:rPr>
          <w:rFonts w:ascii="Times New Roman" w:hAnsi="Times New Roman" w:eastAsia="方正小标宋简体" w:cs="Times New Roman"/>
          <w:kern w:val="0"/>
          <w:sz w:val="44"/>
          <w:szCs w:val="44"/>
        </w:rPr>
      </w:pPr>
      <w:r>
        <w:rPr>
          <w:rFonts w:ascii="Times New Roman" w:hAnsi="Times New Roman" w:eastAsia="方正小标宋简体" w:cs="Times New Roman"/>
          <w:kern w:val="0"/>
          <w:sz w:val="44"/>
          <w:szCs w:val="44"/>
        </w:rPr>
        <w:t>关于《</w:t>
      </w:r>
      <w:r>
        <w:rPr>
          <w:rFonts w:hint="eastAsia" w:ascii="Times New Roman" w:hAnsi="Times New Roman" w:eastAsia="方正小标宋简体" w:cs="Times New Roman"/>
          <w:kern w:val="0"/>
          <w:sz w:val="44"/>
          <w:szCs w:val="44"/>
        </w:rPr>
        <w:t>第十四师224团11连基层党组织活动阵地建设项目地块详细规划调整</w:t>
      </w:r>
    </w:p>
    <w:p w14:paraId="6BFFD8AE">
      <w:pPr>
        <w:spacing w:line="640" w:lineRule="exact"/>
        <w:jc w:val="center"/>
        <w:rPr>
          <w:rFonts w:ascii="Times New Roman" w:hAnsi="Times New Roman" w:eastAsia="方正小标宋简体" w:cs="Times New Roman"/>
          <w:kern w:val="0"/>
          <w:sz w:val="44"/>
          <w:szCs w:val="44"/>
        </w:rPr>
      </w:pPr>
      <w:r>
        <w:rPr>
          <w:rFonts w:hint="eastAsia" w:ascii="Times New Roman" w:hAnsi="Times New Roman" w:eastAsia="方正小标宋简体" w:cs="Times New Roman"/>
          <w:kern w:val="0"/>
          <w:sz w:val="44"/>
          <w:szCs w:val="44"/>
        </w:rPr>
        <w:t>论证报告</w:t>
      </w:r>
      <w:r>
        <w:rPr>
          <w:rFonts w:ascii="Times New Roman" w:hAnsi="Times New Roman" w:eastAsia="方正小标宋简体" w:cs="Times New Roman"/>
          <w:kern w:val="0"/>
          <w:sz w:val="44"/>
          <w:szCs w:val="44"/>
        </w:rPr>
        <w:t>》的</w:t>
      </w:r>
      <w:r>
        <w:rPr>
          <w:rFonts w:hint="eastAsia" w:ascii="Times New Roman" w:hAnsi="Times New Roman" w:eastAsia="方正小标宋简体" w:cs="Times New Roman"/>
          <w:kern w:val="0"/>
          <w:sz w:val="44"/>
          <w:szCs w:val="44"/>
        </w:rPr>
        <w:t>批前公示</w:t>
      </w:r>
    </w:p>
    <w:p w14:paraId="70668F76">
      <w:pPr>
        <w:jc w:val="center"/>
        <w:rPr>
          <w:rFonts w:ascii="Times New Roman" w:hAnsi="Times New Roman" w:eastAsia="方正小标宋简体" w:cs="Times New Roman"/>
          <w:kern w:val="0"/>
          <w:sz w:val="44"/>
          <w:szCs w:val="44"/>
        </w:rPr>
      </w:pPr>
    </w:p>
    <w:p w14:paraId="67800C0C">
      <w:pPr>
        <w:overflowPunct w:val="0"/>
        <w:spacing w:line="560" w:lineRule="exact"/>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依据《第十四师昆玉市</w:t>
      </w:r>
      <w:bookmarkStart w:id="4" w:name="_GoBack"/>
      <w:bookmarkEnd w:id="4"/>
      <w:r>
        <w:rPr>
          <w:rFonts w:hint="eastAsia" w:ascii="Times New Roman" w:hAnsi="Times New Roman" w:eastAsia="仿宋_GB2312" w:cs="Times New Roman"/>
          <w:kern w:val="0"/>
          <w:sz w:val="32"/>
          <w:szCs w:val="32"/>
        </w:rPr>
        <w:t>国土空间总体规划（2</w:t>
      </w:r>
      <w:r>
        <w:rPr>
          <w:rFonts w:ascii="Times New Roman" w:hAnsi="Times New Roman" w:eastAsia="仿宋_GB2312" w:cs="Times New Roman"/>
          <w:kern w:val="0"/>
          <w:sz w:val="32"/>
          <w:szCs w:val="32"/>
        </w:rPr>
        <w:t>021</w:t>
      </w:r>
      <w:r>
        <w:rPr>
          <w:rFonts w:hint="eastAsia" w:ascii="Times New Roman" w:hAnsi="Times New Roman" w:eastAsia="仿宋_GB2312" w:cs="Times New Roman"/>
          <w:kern w:val="0"/>
          <w:sz w:val="32"/>
          <w:szCs w:val="32"/>
          <w:lang w:eastAsia="zh-CN"/>
        </w:rPr>
        <w:t>—</w:t>
      </w:r>
      <w:r>
        <w:rPr>
          <w:rFonts w:ascii="Times New Roman" w:hAnsi="Times New Roman" w:eastAsia="仿宋_GB2312" w:cs="Times New Roman"/>
          <w:kern w:val="0"/>
          <w:sz w:val="32"/>
          <w:szCs w:val="32"/>
        </w:rPr>
        <w:t>2025</w:t>
      </w:r>
      <w:r>
        <w:rPr>
          <w:rFonts w:hint="eastAsia" w:ascii="Times New Roman" w:hAnsi="Times New Roman" w:eastAsia="仿宋_GB2312" w:cs="Times New Roman"/>
          <w:kern w:val="0"/>
          <w:sz w:val="32"/>
          <w:szCs w:val="32"/>
        </w:rPr>
        <w:t>年）</w:t>
      </w:r>
      <w:r>
        <w:rPr>
          <w:rFonts w:hint="eastAsia" w:ascii="Times New Roman" w:hAnsi="Times New Roman" w:eastAsia="仿宋_GB2312" w:cs="Times New Roman"/>
          <w:kern w:val="0"/>
          <w:sz w:val="32"/>
          <w:szCs w:val="32"/>
          <w:lang w:eastAsia="zh-CN"/>
        </w:rPr>
        <w:t>》、《</w:t>
      </w:r>
      <w:r>
        <w:rPr>
          <w:rFonts w:hint="eastAsia" w:ascii="Times New Roman" w:hAnsi="Times New Roman" w:eastAsia="仿宋_GB2312" w:cs="Times New Roman"/>
          <w:kern w:val="0"/>
          <w:sz w:val="32"/>
          <w:szCs w:val="32"/>
        </w:rPr>
        <w:t xml:space="preserve">第十四师昆玉市中心城区城镇开发边界内国土空间详细规划》等上位规划，第十四师自然资源和规划局组织编制完成了《第十四师224团11连基层党组织活动阵地建设项目地块详细规划调整论证报告》。 </w:t>
      </w:r>
      <w:r>
        <w:rPr>
          <w:rFonts w:ascii="Times New Roman" w:hAnsi="Times New Roman" w:eastAsia="仿宋_GB2312" w:cs="Times New Roman"/>
          <w:kern w:val="0"/>
          <w:sz w:val="32"/>
          <w:szCs w:val="32"/>
        </w:rPr>
        <w:t xml:space="preserve"> </w:t>
      </w:r>
    </w:p>
    <w:p w14:paraId="2B93FD7F">
      <w:pPr>
        <w:overflowPunct w:val="0"/>
        <w:spacing w:line="560" w:lineRule="exact"/>
        <w:ind w:firstLine="640" w:firstLineChars="200"/>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根据《中华人民共和国城乡规划法》（2019年第二次修正）、《兵团国土空间详细规划管理办法（试行）》等相关法律法规和规章要求，现将优化方案的主要内容予以公示，广泛征求社会公众意见，规划方案及控制指标以最终批复文件为准。</w:t>
      </w:r>
    </w:p>
    <w:p w14:paraId="5A442A43">
      <w:pPr>
        <w:pStyle w:val="7"/>
        <w:ind w:firstLine="0" w:firstLineChars="0"/>
      </w:pPr>
    </w:p>
    <w:p w14:paraId="080AD583">
      <w:pPr>
        <w:pStyle w:val="7"/>
        <w:ind w:firstLine="0" w:firstLineChars="0"/>
      </w:pPr>
    </w:p>
    <w:p w14:paraId="2827B9BE">
      <w:pPr>
        <w:pStyle w:val="7"/>
        <w:ind w:firstLine="0" w:firstLineChars="0"/>
      </w:pPr>
    </w:p>
    <w:p w14:paraId="3BCB1DCF">
      <w:pPr>
        <w:pStyle w:val="7"/>
        <w:ind w:firstLine="0" w:firstLineChars="0"/>
      </w:pPr>
    </w:p>
    <w:p w14:paraId="61ABBAFA">
      <w:pPr>
        <w:pStyle w:val="7"/>
        <w:ind w:firstLine="0" w:firstLineChars="0"/>
      </w:pPr>
    </w:p>
    <w:p w14:paraId="1ABF1A84">
      <w:pPr>
        <w:pStyle w:val="7"/>
        <w:ind w:firstLine="0" w:firstLineChars="0"/>
      </w:pPr>
    </w:p>
    <w:p w14:paraId="0B433BF0">
      <w:pPr>
        <w:overflowPunct w:val="0"/>
        <w:spacing w:line="560" w:lineRule="exact"/>
        <w:jc w:val="right"/>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第十四师昆玉市自然资源和规划局</w:t>
      </w:r>
    </w:p>
    <w:p w14:paraId="790CCBC7">
      <w:pPr>
        <w:overflowPunct w:val="0"/>
        <w:spacing w:line="560" w:lineRule="exact"/>
        <w:ind w:right="640"/>
        <w:jc w:val="right"/>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202</w:t>
      </w:r>
      <w:r>
        <w:rPr>
          <w:rFonts w:ascii="Times New Roman" w:hAnsi="Times New Roman" w:eastAsia="仿宋_GB2312" w:cs="Times New Roman"/>
          <w:kern w:val="0"/>
          <w:sz w:val="32"/>
          <w:szCs w:val="32"/>
        </w:rPr>
        <w:t>6</w:t>
      </w:r>
      <w:r>
        <w:rPr>
          <w:rFonts w:hint="eastAsia" w:ascii="Times New Roman" w:hAnsi="Times New Roman" w:eastAsia="仿宋_GB2312" w:cs="Times New Roman"/>
          <w:kern w:val="0"/>
          <w:sz w:val="32"/>
          <w:szCs w:val="32"/>
        </w:rPr>
        <w:t>年1月</w:t>
      </w:r>
      <w:r>
        <w:rPr>
          <w:rFonts w:ascii="Times New Roman" w:hAnsi="Times New Roman" w:eastAsia="仿宋_GB2312" w:cs="Times New Roman"/>
          <w:kern w:val="0"/>
          <w:sz w:val="32"/>
          <w:szCs w:val="32"/>
        </w:rPr>
        <w:t>30</w:t>
      </w:r>
      <w:r>
        <w:rPr>
          <w:rFonts w:hint="eastAsia" w:ascii="Times New Roman" w:hAnsi="Times New Roman" w:eastAsia="仿宋_GB2312" w:cs="Times New Roman"/>
          <w:kern w:val="0"/>
          <w:sz w:val="32"/>
          <w:szCs w:val="32"/>
        </w:rPr>
        <w:t>日</w:t>
      </w:r>
    </w:p>
    <w:p w14:paraId="37BBC026">
      <w:pPr>
        <w:pStyle w:val="7"/>
        <w:ind w:firstLine="640"/>
      </w:pPr>
      <w:r>
        <w:rPr>
          <w:rFonts w:hint="eastAsia" w:ascii="Times New Roman" w:hAnsi="Times New Roman" w:eastAsia="仿宋_GB2312" w:cs="Times New Roman"/>
          <w:spacing w:val="1"/>
          <w:w w:val="89"/>
          <w:kern w:val="0"/>
          <w:sz w:val="32"/>
          <w:szCs w:val="32"/>
          <w:fitText w:val="7040" w:id="111879532"/>
        </w:rPr>
        <w:t>（联系人：</w:t>
      </w:r>
      <w:r>
        <w:rPr>
          <w:rFonts w:hint="eastAsia" w:ascii="Times New Roman" w:hAnsi="Times New Roman" w:eastAsia="仿宋_GB2312" w:cs="Times New Roman"/>
          <w:spacing w:val="1"/>
          <w:w w:val="89"/>
          <w:kern w:val="0"/>
          <w:sz w:val="32"/>
          <w:szCs w:val="32"/>
          <w:fitText w:val="7040" w:id="111879532"/>
          <w:lang w:val="en-US" w:eastAsia="zh-CN"/>
        </w:rPr>
        <w:t>第十四师自然资源和规划局，09032567929</w:t>
      </w:r>
      <w:r>
        <w:rPr>
          <w:rFonts w:hint="eastAsia" w:ascii="Times New Roman" w:hAnsi="Times New Roman" w:eastAsia="仿宋_GB2312" w:cs="Times New Roman"/>
          <w:spacing w:val="25"/>
          <w:w w:val="89"/>
          <w:kern w:val="0"/>
          <w:sz w:val="32"/>
          <w:szCs w:val="32"/>
          <w:fitText w:val="7040" w:id="111879532"/>
        </w:rPr>
        <w:t>）</w:t>
      </w:r>
    </w:p>
    <w:p w14:paraId="2F8839A4">
      <w:pPr>
        <w:pStyle w:val="7"/>
        <w:ind w:firstLine="640"/>
      </w:pPr>
    </w:p>
    <w:p w14:paraId="22EAFAC5">
      <w:pPr>
        <w:spacing w:before="120" w:line="360" w:lineRule="auto"/>
        <w:ind w:left="119" w:right="102"/>
        <w:rPr>
          <w:rFonts w:ascii="宋体" w:eastAsia="宋体" w:cs="宋体"/>
          <w:b/>
          <w:bCs/>
          <w:color w:val="333333"/>
          <w:sz w:val="32"/>
          <w:szCs w:val="32"/>
        </w:rPr>
      </w:pPr>
    </w:p>
    <w:p w14:paraId="404CF461">
      <w:pPr>
        <w:spacing w:before="120" w:line="360" w:lineRule="auto"/>
        <w:ind w:left="119" w:right="102"/>
        <w:rPr>
          <w:rFonts w:ascii="宋体" w:cs="宋体"/>
          <w:b/>
          <w:bCs/>
          <w:color w:val="333333"/>
          <w:sz w:val="32"/>
          <w:szCs w:val="32"/>
        </w:rPr>
      </w:pPr>
      <w:r>
        <w:rPr>
          <w:rFonts w:ascii="宋体" w:eastAsia="宋体" w:cs="宋体"/>
          <w:b/>
          <w:bCs/>
          <w:color w:val="333333"/>
          <w:sz w:val="32"/>
          <w:szCs w:val="32"/>
        </w:rPr>
        <w:t xml:space="preserve">一、规划范围 </w:t>
      </w:r>
    </w:p>
    <w:p w14:paraId="0E59964B">
      <w:pPr>
        <w:pStyle w:val="2"/>
        <w:spacing w:before="28" w:line="360" w:lineRule="auto"/>
        <w:ind w:right="103" w:firstLine="640"/>
        <w:rPr>
          <w:rFonts w:ascii="宋体" w:eastAsia="宋体" w:cs="宋体"/>
          <w:color w:val="333333"/>
          <w:sz w:val="32"/>
          <w:szCs w:val="32"/>
        </w:rPr>
      </w:pPr>
      <w:r>
        <w:rPr>
          <w:rFonts w:hint="eastAsia" w:ascii="宋体" w:eastAsia="宋体" w:cs="宋体"/>
          <w:color w:val="333333"/>
          <w:sz w:val="32"/>
          <w:szCs w:val="32"/>
        </w:rPr>
        <w:t>本次调整主要涉及：按照现行用地分类标准对《新疆生产建设兵团第十四师昆玉市中心城区城镇开发边界内国土空间详细规划》昆玉城区铁南单元0</w:t>
      </w:r>
      <w:r>
        <w:rPr>
          <w:rFonts w:ascii="宋体" w:eastAsia="宋体" w:cs="宋体"/>
          <w:color w:val="333333"/>
          <w:sz w:val="32"/>
          <w:szCs w:val="32"/>
        </w:rPr>
        <w:t>28</w:t>
      </w:r>
      <w:r>
        <w:rPr>
          <w:rFonts w:hint="eastAsia" w:ascii="宋体" w:eastAsia="宋体" w:cs="宋体"/>
          <w:color w:val="333333"/>
          <w:sz w:val="32"/>
          <w:szCs w:val="32"/>
        </w:rPr>
        <w:t>街区的028-013地块用地布局进行调整，涉及地块用地性质的变更和详细规划控制指标的相应优化。</w:t>
      </w:r>
    </w:p>
    <w:p w14:paraId="60325965">
      <w:pPr>
        <w:pStyle w:val="2"/>
        <w:spacing w:before="28" w:line="360" w:lineRule="auto"/>
        <w:ind w:right="103" w:firstLine="640"/>
        <w:jc w:val="center"/>
        <w:rPr>
          <w:rFonts w:ascii="宋体" w:eastAsia="宋体" w:cs="宋体"/>
          <w:color w:val="333333"/>
          <w:sz w:val="32"/>
          <w:szCs w:val="32"/>
        </w:rPr>
      </w:pPr>
      <w:r>
        <w:rPr>
          <w:rFonts w:hint="eastAsia" w:ascii="宋体" w:eastAsia="宋体" w:cs="宋体"/>
          <w:color w:val="333333"/>
          <w:sz w:val="32"/>
          <w:szCs w:val="32"/>
        </w:rPr>
        <w:t>028街区 昆玉城区铁南单元原规划图则</w:t>
      </w:r>
    </w:p>
    <w:p w14:paraId="214359F0">
      <w:pPr>
        <w:pStyle w:val="2"/>
        <w:spacing w:before="28" w:line="360" w:lineRule="auto"/>
        <w:ind w:right="103"/>
        <w:rPr>
          <w:rFonts w:ascii="宋体" w:eastAsia="宋体" w:cs="宋体"/>
          <w:color w:val="333333"/>
          <w:sz w:val="32"/>
          <w:szCs w:val="32"/>
        </w:rPr>
      </w:pPr>
      <w:r>
        <w:rPr>
          <w:rFonts w:hint="eastAsia" w:ascii="宋体" w:eastAsia="宋体" w:cs="宋体"/>
          <w:color w:val="333333"/>
          <w:sz w:val="32"/>
          <w:szCs w:val="32"/>
        </w:rPr>
        <w:drawing>
          <wp:inline distT="0" distB="0" distL="114300" distR="114300">
            <wp:extent cx="5274945" cy="3729355"/>
            <wp:effectExtent l="0" t="0" r="1905" b="4445"/>
            <wp:docPr id="2" name="图片 2" descr="微信图片_20251222173527_52_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51222173527_52_190"/>
                    <pic:cNvPicPr>
                      <a:picLocks noChangeAspect="1"/>
                    </pic:cNvPicPr>
                  </pic:nvPicPr>
                  <pic:blipFill>
                    <a:blip r:embed="rId4"/>
                    <a:stretch>
                      <a:fillRect/>
                    </a:stretch>
                  </pic:blipFill>
                  <pic:spPr>
                    <a:xfrm>
                      <a:off x="0" y="0"/>
                      <a:ext cx="5274945" cy="3729355"/>
                    </a:xfrm>
                    <a:prstGeom prst="rect">
                      <a:avLst/>
                    </a:prstGeom>
                  </pic:spPr>
                </pic:pic>
              </a:graphicData>
            </a:graphic>
          </wp:inline>
        </w:drawing>
      </w:r>
    </w:p>
    <w:p w14:paraId="6C290828">
      <w:pPr>
        <w:spacing w:before="120" w:line="360" w:lineRule="auto"/>
        <w:ind w:left="119" w:right="102"/>
        <w:rPr>
          <w:rFonts w:ascii="宋体" w:eastAsia="宋体" w:cs="宋体"/>
          <w:b/>
          <w:bCs/>
          <w:color w:val="333333"/>
          <w:sz w:val="32"/>
          <w:szCs w:val="32"/>
        </w:rPr>
      </w:pPr>
    </w:p>
    <w:p w14:paraId="052839D8">
      <w:pPr>
        <w:spacing w:before="120" w:line="360" w:lineRule="auto"/>
        <w:ind w:left="119" w:right="102"/>
        <w:rPr>
          <w:rFonts w:ascii="宋体" w:eastAsia="宋体" w:cs="宋体"/>
          <w:b/>
          <w:bCs/>
          <w:color w:val="333333"/>
          <w:sz w:val="32"/>
          <w:szCs w:val="32"/>
        </w:rPr>
      </w:pPr>
    </w:p>
    <w:p w14:paraId="15D91FC4">
      <w:pPr>
        <w:spacing w:before="120" w:line="360" w:lineRule="auto"/>
        <w:ind w:left="119" w:right="102"/>
        <w:rPr>
          <w:rFonts w:ascii="宋体" w:eastAsia="宋体" w:cs="宋体"/>
          <w:b/>
          <w:bCs/>
          <w:color w:val="333333"/>
          <w:sz w:val="32"/>
          <w:szCs w:val="32"/>
        </w:rPr>
      </w:pPr>
    </w:p>
    <w:p w14:paraId="7FEC19B2">
      <w:pPr>
        <w:spacing w:before="120" w:line="360" w:lineRule="auto"/>
        <w:ind w:left="119" w:right="102"/>
        <w:rPr>
          <w:rFonts w:ascii="宋体" w:eastAsia="宋体" w:cs="宋体"/>
          <w:b/>
          <w:bCs/>
          <w:color w:val="333333"/>
          <w:sz w:val="32"/>
          <w:szCs w:val="32"/>
        </w:rPr>
      </w:pPr>
    </w:p>
    <w:p w14:paraId="00DD0E6E">
      <w:pPr>
        <w:spacing w:before="120" w:line="360" w:lineRule="auto"/>
        <w:ind w:left="119" w:right="102"/>
        <w:rPr>
          <w:rFonts w:ascii="宋体" w:cs="宋体"/>
          <w:b/>
          <w:bCs/>
          <w:color w:val="333333"/>
          <w:sz w:val="32"/>
          <w:szCs w:val="32"/>
        </w:rPr>
      </w:pPr>
      <w:r>
        <w:rPr>
          <w:rFonts w:ascii="宋体" w:eastAsia="宋体" w:cs="宋体"/>
          <w:b/>
          <w:bCs/>
          <w:color w:val="333333"/>
          <w:sz w:val="32"/>
          <w:szCs w:val="32"/>
        </w:rPr>
        <w:t>二、规划</w:t>
      </w:r>
      <w:r>
        <w:rPr>
          <w:rFonts w:hint="eastAsia" w:ascii="宋体" w:eastAsia="宋体" w:cs="宋体"/>
          <w:b/>
          <w:bCs/>
          <w:color w:val="333333"/>
          <w:sz w:val="32"/>
          <w:szCs w:val="32"/>
        </w:rPr>
        <w:t>调整内容</w:t>
      </w:r>
    </w:p>
    <w:p w14:paraId="16C5D5AA">
      <w:pPr>
        <w:pStyle w:val="2"/>
        <w:spacing w:before="28" w:line="360" w:lineRule="auto"/>
        <w:ind w:right="103" w:firstLine="640"/>
        <w:rPr>
          <w:rFonts w:ascii="宋体" w:eastAsia="宋体" w:cs="宋体"/>
          <w:color w:val="333333"/>
          <w:sz w:val="32"/>
          <w:szCs w:val="32"/>
        </w:rPr>
      </w:pPr>
      <w:r>
        <w:rPr>
          <w:rFonts w:hint="eastAsia" w:ascii="宋体" w:eastAsia="宋体" w:cs="宋体"/>
          <w:color w:val="333333"/>
          <w:sz w:val="32"/>
          <w:szCs w:val="32"/>
        </w:rPr>
        <w:t>本次拟调整地块编号（028-013）总面积0.54公顷（合8.1亩），四至范围为东至昆冈大道、南至玉林大街、西至锦绣路、北至龙源小区（具体坐标以实测为准）。地块规划用地性质为社会停车场用地，但现状为空闲地，无任何停车设施建设，也无车辆停放行为，土地处于低效闲置状态。</w:t>
      </w:r>
    </w:p>
    <w:p w14:paraId="34C21043">
      <w:pPr>
        <w:pStyle w:val="2"/>
        <w:spacing w:before="28" w:line="360" w:lineRule="auto"/>
        <w:ind w:right="103" w:firstLine="640"/>
        <w:rPr>
          <w:rFonts w:ascii="宋体" w:eastAsia="宋体" w:cs="宋体"/>
          <w:color w:val="333333"/>
          <w:sz w:val="32"/>
          <w:szCs w:val="32"/>
        </w:rPr>
      </w:pPr>
      <w:r>
        <w:rPr>
          <w:rFonts w:hint="eastAsia" w:ascii="宋体" w:eastAsia="宋体" w:cs="宋体"/>
          <w:color w:val="333333"/>
          <w:sz w:val="32"/>
          <w:szCs w:val="32"/>
        </w:rPr>
        <w:t>将原规划用地性质为交通场站用地调整为机关团体用地，用地面积保持0.54公顷不变，确保土地利用规模稳定。拟调整地块用地性质调整为机关团体用地，用地面积0.54公顷，控制指标调整为：容积率≤2.0、建筑密度≤40%、绿地率≥35%、建筑限高≤24米。</w:t>
      </w:r>
    </w:p>
    <w:p w14:paraId="5F922C15">
      <w:pPr>
        <w:pStyle w:val="2"/>
        <w:spacing w:before="28" w:line="360" w:lineRule="auto"/>
        <w:ind w:right="103" w:firstLine="643"/>
        <w:rPr>
          <w:rFonts w:ascii="宋体" w:eastAsia="宋体" w:cs="宋体"/>
          <w:b/>
          <w:bCs/>
          <w:color w:val="333333"/>
          <w:sz w:val="32"/>
          <w:szCs w:val="32"/>
        </w:rPr>
      </w:pPr>
      <w:r>
        <w:rPr>
          <w:rFonts w:ascii="宋体" w:eastAsia="宋体" w:cs="宋体"/>
          <w:b/>
          <w:bCs/>
          <w:color w:val="333333"/>
          <w:sz w:val="32"/>
          <w:szCs w:val="32"/>
        </w:rPr>
        <w:t>三、</w:t>
      </w:r>
      <w:r>
        <w:rPr>
          <w:rFonts w:hint="eastAsia" w:ascii="宋体" w:eastAsia="宋体" w:cs="宋体"/>
          <w:b/>
          <w:bCs/>
          <w:color w:val="333333"/>
          <w:sz w:val="32"/>
          <w:szCs w:val="32"/>
        </w:rPr>
        <w:t>规划调整</w:t>
      </w:r>
      <w:r>
        <w:rPr>
          <w:rFonts w:ascii="宋体" w:eastAsia="宋体" w:cs="宋体"/>
          <w:b/>
          <w:bCs/>
          <w:color w:val="333333"/>
          <w:sz w:val="32"/>
          <w:szCs w:val="32"/>
        </w:rPr>
        <w:t xml:space="preserve">指标 </w:t>
      </w:r>
    </w:p>
    <w:p w14:paraId="1FD099E4">
      <w:pPr>
        <w:autoSpaceDE w:val="0"/>
        <w:autoSpaceDN w:val="0"/>
        <w:adjustRightInd w:val="0"/>
        <w:snapToGrid w:val="0"/>
        <w:spacing w:before="78" w:line="361" w:lineRule="auto"/>
        <w:ind w:right="30"/>
        <w:jc w:val="center"/>
        <w:rPr>
          <w:rFonts w:ascii="Times New Roman" w:hAnsi="Times New Roman" w:eastAsia="宋体" w:cs="Times New Roman"/>
          <w:sz w:val="28"/>
          <w:szCs w:val="28"/>
        </w:rPr>
      </w:pPr>
      <w:bookmarkStart w:id="0" w:name="_Toc19487"/>
      <w:bookmarkStart w:id="1" w:name="_Toc13193"/>
      <w:r>
        <w:rPr>
          <w:rFonts w:ascii="Times New Roman" w:hAnsi="Times New Roman" w:eastAsia="宋体" w:cs="Times New Roman"/>
          <w:b/>
          <w:bCs/>
          <w:spacing w:val="-4"/>
          <w:szCs w:val="21"/>
        </w:rPr>
        <w:t>表1   调整前地块规划指标表</w:t>
      </w:r>
    </w:p>
    <w:bookmarkEnd w:id="0"/>
    <w:bookmarkEnd w:id="1"/>
    <w:tbl>
      <w:tblPr>
        <w:tblStyle w:val="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4"/>
        <w:gridCol w:w="1066"/>
        <w:gridCol w:w="1066"/>
        <w:gridCol w:w="1066"/>
        <w:gridCol w:w="1066"/>
        <w:gridCol w:w="1066"/>
        <w:gridCol w:w="1212"/>
        <w:gridCol w:w="917"/>
      </w:tblGrid>
      <w:tr w14:paraId="1D05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24" w:type="pct"/>
            <w:shd w:val="clear" w:color="auto" w:fill="auto"/>
            <w:vAlign w:val="center"/>
          </w:tcPr>
          <w:p w14:paraId="54DA1173">
            <w:pPr>
              <w:widowControl/>
              <w:autoSpaceDE w:val="0"/>
              <w:autoSpaceDN w:val="0"/>
              <w:adjustRightInd w:val="0"/>
              <w:snapToGrid w:val="0"/>
              <w:jc w:val="center"/>
              <w:textAlignment w:val="center"/>
              <w:rPr>
                <w:rFonts w:ascii="Times New Roman" w:hAnsi="Times New Roman" w:eastAsia="宋体" w:cs="Times New Roman"/>
                <w:color w:val="000000"/>
                <w:sz w:val="22"/>
                <w:szCs w:val="22"/>
              </w:rPr>
            </w:pPr>
            <w:r>
              <w:rPr>
                <w:rFonts w:ascii="Times New Roman" w:hAnsi="Times New Roman" w:eastAsia="宋体" w:cs="Times New Roman"/>
                <w:snapToGrid w:val="0"/>
                <w:color w:val="000000"/>
                <w:kern w:val="0"/>
                <w:sz w:val="22"/>
                <w:szCs w:val="22"/>
                <w:lang w:bidi="ar"/>
              </w:rPr>
              <w:t>地块编号</w:t>
            </w:r>
          </w:p>
        </w:tc>
        <w:tc>
          <w:tcPr>
            <w:tcW w:w="625" w:type="pct"/>
            <w:shd w:val="clear" w:color="auto" w:fill="auto"/>
            <w:vAlign w:val="center"/>
          </w:tcPr>
          <w:p w14:paraId="6AF8EBD3">
            <w:pPr>
              <w:widowControl/>
              <w:autoSpaceDE w:val="0"/>
              <w:autoSpaceDN w:val="0"/>
              <w:adjustRightInd w:val="0"/>
              <w:snapToGrid w:val="0"/>
              <w:jc w:val="center"/>
              <w:textAlignment w:val="center"/>
              <w:rPr>
                <w:rFonts w:ascii="Times New Roman" w:hAnsi="Times New Roman" w:eastAsia="宋体" w:cs="Times New Roman"/>
                <w:color w:val="000000"/>
                <w:sz w:val="22"/>
                <w:szCs w:val="22"/>
              </w:rPr>
            </w:pPr>
            <w:r>
              <w:rPr>
                <w:rFonts w:ascii="Times New Roman" w:hAnsi="Times New Roman" w:eastAsia="宋体" w:cs="Times New Roman"/>
                <w:snapToGrid w:val="0"/>
                <w:color w:val="000000"/>
                <w:kern w:val="0"/>
                <w:sz w:val="22"/>
                <w:szCs w:val="22"/>
                <w:lang w:bidi="ar"/>
              </w:rPr>
              <w:t>用地分类代码</w:t>
            </w:r>
          </w:p>
        </w:tc>
        <w:tc>
          <w:tcPr>
            <w:tcW w:w="625" w:type="pct"/>
            <w:shd w:val="clear" w:color="auto" w:fill="auto"/>
            <w:vAlign w:val="center"/>
          </w:tcPr>
          <w:p w14:paraId="0D5B4395">
            <w:pPr>
              <w:widowControl/>
              <w:autoSpaceDE w:val="0"/>
              <w:autoSpaceDN w:val="0"/>
              <w:adjustRightInd w:val="0"/>
              <w:snapToGrid w:val="0"/>
              <w:jc w:val="center"/>
              <w:textAlignment w:val="center"/>
              <w:rPr>
                <w:rFonts w:ascii="Times New Roman" w:hAnsi="Times New Roman" w:eastAsia="宋体" w:cs="Times New Roman"/>
                <w:color w:val="000000"/>
                <w:sz w:val="22"/>
                <w:szCs w:val="22"/>
              </w:rPr>
            </w:pPr>
            <w:r>
              <w:rPr>
                <w:rFonts w:ascii="Times New Roman" w:hAnsi="Times New Roman" w:eastAsia="宋体" w:cs="Times New Roman"/>
                <w:snapToGrid w:val="0"/>
                <w:color w:val="000000"/>
                <w:kern w:val="0"/>
                <w:sz w:val="22"/>
                <w:szCs w:val="22"/>
                <w:lang w:bidi="ar"/>
              </w:rPr>
              <w:t>用地分类名称</w:t>
            </w:r>
          </w:p>
        </w:tc>
        <w:tc>
          <w:tcPr>
            <w:tcW w:w="625" w:type="pct"/>
            <w:shd w:val="clear" w:color="auto" w:fill="auto"/>
            <w:vAlign w:val="center"/>
          </w:tcPr>
          <w:p w14:paraId="0A66082C">
            <w:pPr>
              <w:widowControl/>
              <w:autoSpaceDE w:val="0"/>
              <w:autoSpaceDN w:val="0"/>
              <w:adjustRightInd w:val="0"/>
              <w:snapToGrid w:val="0"/>
              <w:jc w:val="center"/>
              <w:textAlignment w:val="center"/>
              <w:rPr>
                <w:rFonts w:ascii="Times New Roman" w:hAnsi="Times New Roman" w:eastAsia="宋体" w:cs="Times New Roman"/>
                <w:color w:val="000000"/>
                <w:sz w:val="22"/>
                <w:szCs w:val="22"/>
              </w:rPr>
            </w:pPr>
            <w:r>
              <w:rPr>
                <w:rFonts w:ascii="Times New Roman" w:hAnsi="Times New Roman" w:eastAsia="宋体" w:cs="Times New Roman"/>
                <w:snapToGrid w:val="0"/>
                <w:color w:val="000000"/>
                <w:kern w:val="0"/>
                <w:sz w:val="22"/>
                <w:szCs w:val="22"/>
                <w:lang w:bidi="ar"/>
              </w:rPr>
              <w:t>用地面积（公顷）</w:t>
            </w:r>
          </w:p>
        </w:tc>
        <w:tc>
          <w:tcPr>
            <w:tcW w:w="625" w:type="pct"/>
            <w:shd w:val="clear" w:color="auto" w:fill="auto"/>
            <w:vAlign w:val="center"/>
          </w:tcPr>
          <w:p w14:paraId="5F650C0B">
            <w:pPr>
              <w:widowControl/>
              <w:autoSpaceDE w:val="0"/>
              <w:autoSpaceDN w:val="0"/>
              <w:adjustRightInd w:val="0"/>
              <w:snapToGrid w:val="0"/>
              <w:jc w:val="center"/>
              <w:textAlignment w:val="center"/>
              <w:rPr>
                <w:rFonts w:ascii="Times New Roman" w:hAnsi="Times New Roman" w:eastAsia="宋体" w:cs="Times New Roman"/>
                <w:color w:val="000000"/>
                <w:sz w:val="22"/>
                <w:szCs w:val="22"/>
              </w:rPr>
            </w:pPr>
            <w:r>
              <w:rPr>
                <w:rFonts w:ascii="Times New Roman" w:hAnsi="Times New Roman" w:eastAsia="宋体" w:cs="Times New Roman"/>
                <w:snapToGrid w:val="0"/>
                <w:color w:val="000000"/>
                <w:kern w:val="0"/>
                <w:sz w:val="22"/>
                <w:szCs w:val="22"/>
                <w:lang w:bidi="ar"/>
              </w:rPr>
              <w:t>容积率</w:t>
            </w:r>
          </w:p>
        </w:tc>
        <w:tc>
          <w:tcPr>
            <w:tcW w:w="625" w:type="pct"/>
            <w:shd w:val="clear" w:color="auto" w:fill="auto"/>
            <w:vAlign w:val="center"/>
          </w:tcPr>
          <w:p w14:paraId="231F86D3">
            <w:pPr>
              <w:widowControl/>
              <w:autoSpaceDE w:val="0"/>
              <w:autoSpaceDN w:val="0"/>
              <w:adjustRightInd w:val="0"/>
              <w:snapToGrid w:val="0"/>
              <w:jc w:val="center"/>
              <w:textAlignment w:val="center"/>
              <w:rPr>
                <w:rFonts w:ascii="Times New Roman" w:hAnsi="Times New Roman" w:eastAsia="宋体" w:cs="Times New Roman"/>
                <w:color w:val="000000"/>
                <w:sz w:val="22"/>
                <w:szCs w:val="22"/>
              </w:rPr>
            </w:pPr>
            <w:r>
              <w:rPr>
                <w:rFonts w:ascii="Times New Roman" w:hAnsi="Times New Roman" w:eastAsia="宋体" w:cs="Times New Roman"/>
                <w:snapToGrid w:val="0"/>
                <w:color w:val="000000"/>
                <w:kern w:val="0"/>
                <w:sz w:val="22"/>
                <w:szCs w:val="22"/>
                <w:lang w:bidi="ar"/>
              </w:rPr>
              <w:t>建筑密度（%）</w:t>
            </w:r>
          </w:p>
        </w:tc>
        <w:tc>
          <w:tcPr>
            <w:tcW w:w="711" w:type="pct"/>
            <w:shd w:val="clear" w:color="auto" w:fill="auto"/>
            <w:vAlign w:val="center"/>
          </w:tcPr>
          <w:p w14:paraId="24F8A7AB">
            <w:pPr>
              <w:widowControl/>
              <w:autoSpaceDE w:val="0"/>
              <w:autoSpaceDN w:val="0"/>
              <w:adjustRightInd w:val="0"/>
              <w:snapToGrid w:val="0"/>
              <w:jc w:val="center"/>
              <w:textAlignment w:val="center"/>
              <w:rPr>
                <w:rFonts w:ascii="Times New Roman" w:hAnsi="Times New Roman" w:eastAsia="宋体" w:cs="Times New Roman"/>
                <w:color w:val="000000"/>
                <w:sz w:val="22"/>
                <w:szCs w:val="22"/>
              </w:rPr>
            </w:pPr>
            <w:r>
              <w:rPr>
                <w:rFonts w:ascii="Times New Roman" w:hAnsi="Times New Roman" w:eastAsia="宋体" w:cs="Times New Roman"/>
                <w:snapToGrid w:val="0"/>
                <w:color w:val="000000"/>
                <w:kern w:val="0"/>
                <w:sz w:val="22"/>
                <w:szCs w:val="22"/>
                <w:lang w:bidi="ar"/>
              </w:rPr>
              <w:t>建筑限高（米）</w:t>
            </w:r>
          </w:p>
        </w:tc>
        <w:tc>
          <w:tcPr>
            <w:tcW w:w="538" w:type="pct"/>
            <w:shd w:val="clear" w:color="auto" w:fill="auto"/>
            <w:vAlign w:val="center"/>
          </w:tcPr>
          <w:p w14:paraId="06FE1292">
            <w:pPr>
              <w:widowControl/>
              <w:autoSpaceDE w:val="0"/>
              <w:autoSpaceDN w:val="0"/>
              <w:adjustRightInd w:val="0"/>
              <w:snapToGrid w:val="0"/>
              <w:jc w:val="center"/>
              <w:textAlignment w:val="center"/>
              <w:rPr>
                <w:rFonts w:ascii="Times New Roman" w:hAnsi="Times New Roman" w:eastAsia="宋体" w:cs="Times New Roman"/>
                <w:color w:val="000000"/>
                <w:sz w:val="22"/>
                <w:szCs w:val="22"/>
              </w:rPr>
            </w:pPr>
            <w:r>
              <w:rPr>
                <w:rFonts w:ascii="Times New Roman" w:hAnsi="Times New Roman" w:eastAsia="宋体" w:cs="Times New Roman"/>
                <w:snapToGrid w:val="0"/>
                <w:color w:val="000000"/>
                <w:kern w:val="0"/>
                <w:sz w:val="22"/>
                <w:szCs w:val="22"/>
                <w:lang w:bidi="ar"/>
              </w:rPr>
              <w:t>绿地率（%）</w:t>
            </w:r>
          </w:p>
        </w:tc>
      </w:tr>
      <w:tr w14:paraId="05564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24" w:type="pct"/>
            <w:shd w:val="clear" w:color="auto" w:fill="auto"/>
            <w:vAlign w:val="center"/>
          </w:tcPr>
          <w:p w14:paraId="1648C45D">
            <w:pPr>
              <w:widowControl/>
              <w:autoSpaceDE w:val="0"/>
              <w:autoSpaceDN w:val="0"/>
              <w:adjustRightInd w:val="0"/>
              <w:snapToGrid w:val="0"/>
              <w:jc w:val="center"/>
              <w:textAlignment w:val="center"/>
              <w:rPr>
                <w:rFonts w:ascii="Times New Roman" w:hAnsi="Times New Roman" w:eastAsia="宋体" w:cs="Times New Roman"/>
                <w:color w:val="000000"/>
                <w:sz w:val="22"/>
                <w:szCs w:val="22"/>
              </w:rPr>
            </w:pPr>
            <w:r>
              <w:rPr>
                <w:rFonts w:ascii="Times New Roman" w:hAnsi="Times New Roman" w:eastAsia="宋体" w:cs="Times New Roman"/>
                <w:snapToGrid w:val="0"/>
                <w:color w:val="000000"/>
                <w:kern w:val="0"/>
                <w:sz w:val="22"/>
                <w:szCs w:val="22"/>
                <w:lang w:bidi="ar"/>
              </w:rPr>
              <w:t>1</w:t>
            </w:r>
          </w:p>
        </w:tc>
        <w:tc>
          <w:tcPr>
            <w:tcW w:w="625" w:type="pct"/>
            <w:shd w:val="clear" w:color="auto" w:fill="auto"/>
            <w:vAlign w:val="center"/>
          </w:tcPr>
          <w:p w14:paraId="71EAA58E">
            <w:pPr>
              <w:widowControl/>
              <w:autoSpaceDE w:val="0"/>
              <w:autoSpaceDN w:val="0"/>
              <w:adjustRightInd w:val="0"/>
              <w:snapToGrid w:val="0"/>
              <w:jc w:val="center"/>
              <w:textAlignment w:val="center"/>
              <w:rPr>
                <w:rFonts w:ascii="Times New Roman" w:hAnsi="Times New Roman" w:eastAsia="宋体" w:cs="Times New Roman"/>
                <w:color w:val="000000"/>
                <w:sz w:val="22"/>
                <w:szCs w:val="22"/>
              </w:rPr>
            </w:pPr>
            <w:r>
              <w:rPr>
                <w:rFonts w:ascii="Times New Roman" w:hAnsi="Times New Roman" w:eastAsia="宋体" w:cs="Times New Roman"/>
                <w:snapToGrid w:val="0"/>
                <w:color w:val="000000"/>
                <w:kern w:val="0"/>
                <w:sz w:val="22"/>
                <w:szCs w:val="22"/>
                <w:lang w:bidi="ar"/>
              </w:rPr>
              <w:t>120803</w:t>
            </w:r>
          </w:p>
        </w:tc>
        <w:tc>
          <w:tcPr>
            <w:tcW w:w="625" w:type="pct"/>
            <w:shd w:val="clear" w:color="auto" w:fill="auto"/>
            <w:vAlign w:val="center"/>
          </w:tcPr>
          <w:p w14:paraId="7F517829">
            <w:pPr>
              <w:widowControl/>
              <w:autoSpaceDE w:val="0"/>
              <w:autoSpaceDN w:val="0"/>
              <w:adjustRightInd w:val="0"/>
              <w:snapToGrid w:val="0"/>
              <w:jc w:val="center"/>
              <w:textAlignment w:val="center"/>
              <w:rPr>
                <w:rFonts w:ascii="Times New Roman" w:hAnsi="Times New Roman" w:eastAsia="宋体" w:cs="Times New Roman"/>
                <w:color w:val="000000"/>
                <w:sz w:val="22"/>
                <w:szCs w:val="22"/>
              </w:rPr>
            </w:pPr>
            <w:r>
              <w:rPr>
                <w:rFonts w:ascii="Times New Roman" w:hAnsi="Times New Roman" w:eastAsia="宋体" w:cs="Times New Roman"/>
                <w:snapToGrid w:val="0"/>
                <w:color w:val="000000"/>
                <w:kern w:val="0"/>
                <w:sz w:val="22"/>
                <w:szCs w:val="22"/>
                <w:lang w:bidi="ar"/>
              </w:rPr>
              <w:t>社会停车场用地</w:t>
            </w:r>
          </w:p>
        </w:tc>
        <w:tc>
          <w:tcPr>
            <w:tcW w:w="625" w:type="pct"/>
            <w:shd w:val="clear" w:color="auto" w:fill="auto"/>
            <w:vAlign w:val="center"/>
          </w:tcPr>
          <w:p w14:paraId="5DC5B77B">
            <w:pPr>
              <w:widowControl/>
              <w:autoSpaceDE w:val="0"/>
              <w:autoSpaceDN w:val="0"/>
              <w:adjustRightInd w:val="0"/>
              <w:snapToGrid w:val="0"/>
              <w:jc w:val="center"/>
              <w:textAlignment w:val="center"/>
              <w:rPr>
                <w:rFonts w:ascii="Times New Roman" w:hAnsi="Times New Roman" w:eastAsia="宋体" w:cs="Times New Roman"/>
                <w:color w:val="000000"/>
                <w:sz w:val="22"/>
                <w:szCs w:val="22"/>
              </w:rPr>
            </w:pPr>
            <w:r>
              <w:rPr>
                <w:rFonts w:ascii="Times New Roman" w:hAnsi="Times New Roman" w:eastAsia="宋体" w:cs="Times New Roman"/>
                <w:snapToGrid w:val="0"/>
                <w:color w:val="000000"/>
                <w:kern w:val="0"/>
                <w:sz w:val="22"/>
                <w:szCs w:val="22"/>
                <w:lang w:bidi="ar"/>
              </w:rPr>
              <w:t>0.54</w:t>
            </w:r>
          </w:p>
        </w:tc>
        <w:tc>
          <w:tcPr>
            <w:tcW w:w="625" w:type="pct"/>
            <w:shd w:val="clear" w:color="auto" w:fill="auto"/>
            <w:vAlign w:val="center"/>
          </w:tcPr>
          <w:p w14:paraId="639D8279">
            <w:pPr>
              <w:widowControl/>
              <w:autoSpaceDE w:val="0"/>
              <w:autoSpaceDN w:val="0"/>
              <w:adjustRightInd w:val="0"/>
              <w:snapToGrid w:val="0"/>
              <w:jc w:val="center"/>
              <w:textAlignment w:val="center"/>
              <w:rPr>
                <w:rFonts w:ascii="Times New Roman" w:hAnsi="Times New Roman" w:eastAsia="宋体" w:cs="Times New Roman"/>
                <w:color w:val="000000"/>
                <w:sz w:val="22"/>
                <w:szCs w:val="22"/>
              </w:rPr>
            </w:pPr>
            <w:r>
              <w:rPr>
                <w:rFonts w:ascii="Times New Roman" w:hAnsi="Times New Roman" w:eastAsia="宋体" w:cs="Times New Roman"/>
                <w:snapToGrid w:val="0"/>
                <w:color w:val="000000"/>
                <w:kern w:val="0"/>
                <w:sz w:val="22"/>
                <w:szCs w:val="22"/>
                <w:lang w:bidi="ar"/>
              </w:rPr>
              <w:t>≤0.6</w:t>
            </w:r>
          </w:p>
        </w:tc>
        <w:tc>
          <w:tcPr>
            <w:tcW w:w="625" w:type="pct"/>
            <w:shd w:val="clear" w:color="auto" w:fill="auto"/>
            <w:vAlign w:val="center"/>
          </w:tcPr>
          <w:p w14:paraId="59636459">
            <w:pPr>
              <w:widowControl/>
              <w:autoSpaceDE w:val="0"/>
              <w:autoSpaceDN w:val="0"/>
              <w:adjustRightInd w:val="0"/>
              <w:snapToGrid w:val="0"/>
              <w:jc w:val="center"/>
              <w:textAlignment w:val="center"/>
              <w:rPr>
                <w:rFonts w:ascii="Times New Roman" w:hAnsi="Times New Roman" w:eastAsia="宋体" w:cs="Times New Roman"/>
                <w:color w:val="000000"/>
                <w:sz w:val="22"/>
                <w:szCs w:val="22"/>
              </w:rPr>
            </w:pPr>
            <w:r>
              <w:rPr>
                <w:rFonts w:ascii="Times New Roman" w:hAnsi="Times New Roman" w:eastAsia="宋体" w:cs="Times New Roman"/>
                <w:snapToGrid w:val="0"/>
                <w:color w:val="000000"/>
                <w:kern w:val="0"/>
                <w:sz w:val="22"/>
                <w:szCs w:val="22"/>
                <w:lang w:bidi="ar"/>
              </w:rPr>
              <w:t>≤40</w:t>
            </w:r>
          </w:p>
        </w:tc>
        <w:tc>
          <w:tcPr>
            <w:tcW w:w="711" w:type="pct"/>
            <w:shd w:val="clear" w:color="auto" w:fill="auto"/>
            <w:vAlign w:val="center"/>
          </w:tcPr>
          <w:p w14:paraId="18BDAF6D">
            <w:pPr>
              <w:widowControl/>
              <w:autoSpaceDE w:val="0"/>
              <w:autoSpaceDN w:val="0"/>
              <w:adjustRightInd w:val="0"/>
              <w:snapToGrid w:val="0"/>
              <w:jc w:val="center"/>
              <w:textAlignment w:val="center"/>
              <w:rPr>
                <w:rFonts w:ascii="Times New Roman" w:hAnsi="Times New Roman" w:eastAsia="宋体" w:cs="Times New Roman"/>
                <w:color w:val="000000"/>
                <w:sz w:val="22"/>
                <w:szCs w:val="22"/>
              </w:rPr>
            </w:pPr>
            <w:r>
              <w:rPr>
                <w:rFonts w:ascii="Times New Roman" w:hAnsi="Times New Roman" w:eastAsia="宋体" w:cs="Times New Roman"/>
                <w:snapToGrid w:val="0"/>
                <w:color w:val="000000"/>
                <w:kern w:val="0"/>
                <w:sz w:val="22"/>
                <w:szCs w:val="22"/>
                <w:lang w:bidi="ar"/>
              </w:rPr>
              <w:t>24</w:t>
            </w:r>
          </w:p>
        </w:tc>
        <w:tc>
          <w:tcPr>
            <w:tcW w:w="538" w:type="pct"/>
            <w:shd w:val="clear" w:color="auto" w:fill="auto"/>
            <w:vAlign w:val="center"/>
          </w:tcPr>
          <w:p w14:paraId="74EC18AC">
            <w:pPr>
              <w:widowControl/>
              <w:autoSpaceDE w:val="0"/>
              <w:autoSpaceDN w:val="0"/>
              <w:adjustRightInd w:val="0"/>
              <w:snapToGrid w:val="0"/>
              <w:jc w:val="center"/>
              <w:textAlignment w:val="center"/>
              <w:rPr>
                <w:rFonts w:ascii="Times New Roman" w:hAnsi="Times New Roman" w:eastAsia="宋体" w:cs="Times New Roman"/>
                <w:color w:val="000000"/>
                <w:sz w:val="22"/>
                <w:szCs w:val="22"/>
              </w:rPr>
            </w:pPr>
            <w:r>
              <w:rPr>
                <w:rFonts w:ascii="Times New Roman" w:hAnsi="Times New Roman" w:eastAsia="宋体" w:cs="Times New Roman"/>
                <w:snapToGrid w:val="0"/>
                <w:color w:val="000000"/>
                <w:kern w:val="0"/>
                <w:sz w:val="22"/>
                <w:szCs w:val="22"/>
                <w:lang w:bidi="ar"/>
              </w:rPr>
              <w:t>≥20</w:t>
            </w:r>
          </w:p>
        </w:tc>
      </w:tr>
    </w:tbl>
    <w:p w14:paraId="5273B95C">
      <w:pPr>
        <w:pStyle w:val="2"/>
        <w:spacing w:before="128"/>
        <w:ind w:right="100"/>
        <w:rPr>
          <w:rFonts w:ascii="宋体" w:eastAsia="宋体" w:cs="宋体"/>
          <w:sz w:val="20"/>
          <w:szCs w:val="20"/>
        </w:rPr>
      </w:pPr>
      <w:r>
        <w:rPr>
          <w:rFonts w:ascii="Times New Roman" w:hAnsi="Times New Roman" w:cs="Times New Roman"/>
        </w:rPr>
        <w:drawing>
          <wp:inline distT="0" distB="0" distL="114300" distR="114300">
            <wp:extent cx="5312410" cy="3679190"/>
            <wp:effectExtent l="0" t="0" r="2540" b="16510"/>
            <wp:docPr id="5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7"/>
                    <pic:cNvPicPr>
                      <a:picLocks noChangeAspect="1"/>
                    </pic:cNvPicPr>
                  </pic:nvPicPr>
                  <pic:blipFill>
                    <a:blip r:embed="rId5"/>
                    <a:stretch>
                      <a:fillRect/>
                    </a:stretch>
                  </pic:blipFill>
                  <pic:spPr>
                    <a:xfrm>
                      <a:off x="0" y="0"/>
                      <a:ext cx="5312410" cy="3679190"/>
                    </a:xfrm>
                    <a:prstGeom prst="rect">
                      <a:avLst/>
                    </a:prstGeom>
                    <a:noFill/>
                    <a:ln>
                      <a:noFill/>
                    </a:ln>
                  </pic:spPr>
                </pic:pic>
              </a:graphicData>
            </a:graphic>
          </wp:inline>
        </w:drawing>
      </w:r>
    </w:p>
    <w:p w14:paraId="00A37681">
      <w:pPr>
        <w:pStyle w:val="2"/>
        <w:spacing w:before="128"/>
        <w:ind w:right="100" w:firstLine="400"/>
        <w:rPr>
          <w:rFonts w:ascii="宋体" w:eastAsia="宋体" w:cs="宋体"/>
          <w:sz w:val="20"/>
          <w:szCs w:val="20"/>
        </w:rPr>
      </w:pPr>
    </w:p>
    <w:p w14:paraId="46AD41C2">
      <w:pPr>
        <w:pStyle w:val="2"/>
        <w:spacing w:before="128"/>
        <w:ind w:right="100"/>
        <w:rPr>
          <w:rFonts w:ascii="宋体" w:eastAsia="宋体" w:cs="宋体"/>
          <w:sz w:val="20"/>
          <w:szCs w:val="20"/>
        </w:rPr>
      </w:pPr>
    </w:p>
    <w:p w14:paraId="1BBACDCE">
      <w:pPr>
        <w:autoSpaceDE w:val="0"/>
        <w:autoSpaceDN w:val="0"/>
        <w:adjustRightInd w:val="0"/>
        <w:snapToGrid w:val="0"/>
        <w:spacing w:before="78" w:line="361" w:lineRule="auto"/>
        <w:ind w:right="30"/>
        <w:jc w:val="center"/>
        <w:rPr>
          <w:rFonts w:ascii="Times New Roman" w:hAnsi="Times New Roman" w:eastAsia="宋体" w:cs="Times New Roman"/>
          <w:sz w:val="28"/>
          <w:szCs w:val="28"/>
        </w:rPr>
      </w:pPr>
      <w:bookmarkStart w:id="2" w:name="_Toc21595"/>
      <w:bookmarkStart w:id="3" w:name="_Toc15196"/>
      <w:r>
        <w:rPr>
          <w:rFonts w:ascii="Times New Roman" w:hAnsi="Times New Roman" w:eastAsia="宋体" w:cs="Times New Roman"/>
          <w:b/>
          <w:bCs/>
          <w:spacing w:val="-4"/>
          <w:szCs w:val="21"/>
        </w:rPr>
        <w:t>表2   调整后地块规划指标表</w:t>
      </w:r>
    </w:p>
    <w:bookmarkEnd w:id="2"/>
    <w:bookmarkEnd w:id="3"/>
    <w:tbl>
      <w:tblPr>
        <w:tblStyle w:val="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3"/>
        <w:gridCol w:w="1066"/>
        <w:gridCol w:w="1066"/>
        <w:gridCol w:w="1066"/>
        <w:gridCol w:w="1066"/>
        <w:gridCol w:w="1066"/>
        <w:gridCol w:w="1182"/>
        <w:gridCol w:w="948"/>
      </w:tblGrid>
      <w:tr w14:paraId="3C19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24" w:type="pct"/>
            <w:shd w:val="clear" w:color="auto" w:fill="auto"/>
            <w:vAlign w:val="center"/>
          </w:tcPr>
          <w:p w14:paraId="33CE0B3C">
            <w:pPr>
              <w:widowControl/>
              <w:autoSpaceDE w:val="0"/>
              <w:autoSpaceDN w:val="0"/>
              <w:adjustRightInd w:val="0"/>
              <w:snapToGrid w:val="0"/>
              <w:jc w:val="center"/>
              <w:textAlignment w:val="center"/>
              <w:rPr>
                <w:rFonts w:ascii="Times New Roman" w:hAnsi="Times New Roman" w:eastAsia="宋体" w:cs="Times New Roman"/>
                <w:color w:val="000000"/>
                <w:szCs w:val="21"/>
              </w:rPr>
            </w:pPr>
            <w:r>
              <w:rPr>
                <w:rFonts w:ascii="Times New Roman" w:hAnsi="Times New Roman" w:eastAsia="宋体" w:cs="Times New Roman"/>
                <w:snapToGrid w:val="0"/>
                <w:color w:val="000000"/>
                <w:kern w:val="0"/>
                <w:szCs w:val="21"/>
                <w:lang w:bidi="ar"/>
              </w:rPr>
              <w:t>地块编号</w:t>
            </w:r>
          </w:p>
        </w:tc>
        <w:tc>
          <w:tcPr>
            <w:tcW w:w="625" w:type="pct"/>
            <w:shd w:val="clear" w:color="auto" w:fill="auto"/>
            <w:vAlign w:val="center"/>
          </w:tcPr>
          <w:p w14:paraId="0D448F77">
            <w:pPr>
              <w:widowControl/>
              <w:autoSpaceDE w:val="0"/>
              <w:autoSpaceDN w:val="0"/>
              <w:adjustRightInd w:val="0"/>
              <w:snapToGrid w:val="0"/>
              <w:jc w:val="center"/>
              <w:textAlignment w:val="center"/>
              <w:rPr>
                <w:rFonts w:ascii="Times New Roman" w:hAnsi="Times New Roman" w:eastAsia="宋体" w:cs="Times New Roman"/>
                <w:color w:val="000000"/>
                <w:szCs w:val="21"/>
              </w:rPr>
            </w:pPr>
            <w:r>
              <w:rPr>
                <w:rFonts w:ascii="Times New Roman" w:hAnsi="Times New Roman" w:eastAsia="宋体" w:cs="Times New Roman"/>
                <w:snapToGrid w:val="0"/>
                <w:color w:val="000000"/>
                <w:kern w:val="0"/>
                <w:szCs w:val="21"/>
                <w:lang w:bidi="ar"/>
              </w:rPr>
              <w:t>用地分类代码</w:t>
            </w:r>
          </w:p>
        </w:tc>
        <w:tc>
          <w:tcPr>
            <w:tcW w:w="625" w:type="pct"/>
            <w:shd w:val="clear" w:color="auto" w:fill="auto"/>
            <w:vAlign w:val="center"/>
          </w:tcPr>
          <w:p w14:paraId="6E908FCD">
            <w:pPr>
              <w:widowControl/>
              <w:autoSpaceDE w:val="0"/>
              <w:autoSpaceDN w:val="0"/>
              <w:adjustRightInd w:val="0"/>
              <w:snapToGrid w:val="0"/>
              <w:jc w:val="center"/>
              <w:textAlignment w:val="center"/>
              <w:rPr>
                <w:rFonts w:ascii="Times New Roman" w:hAnsi="Times New Roman" w:eastAsia="宋体" w:cs="Times New Roman"/>
                <w:color w:val="000000"/>
                <w:szCs w:val="21"/>
              </w:rPr>
            </w:pPr>
            <w:r>
              <w:rPr>
                <w:rFonts w:ascii="Times New Roman" w:hAnsi="Times New Roman" w:eastAsia="宋体" w:cs="Times New Roman"/>
                <w:snapToGrid w:val="0"/>
                <w:color w:val="000000"/>
                <w:kern w:val="0"/>
                <w:szCs w:val="21"/>
                <w:lang w:bidi="ar"/>
              </w:rPr>
              <w:t>用地分类名称</w:t>
            </w:r>
          </w:p>
        </w:tc>
        <w:tc>
          <w:tcPr>
            <w:tcW w:w="625" w:type="pct"/>
            <w:shd w:val="clear" w:color="auto" w:fill="auto"/>
            <w:vAlign w:val="center"/>
          </w:tcPr>
          <w:p w14:paraId="18AA84A1">
            <w:pPr>
              <w:widowControl/>
              <w:autoSpaceDE w:val="0"/>
              <w:autoSpaceDN w:val="0"/>
              <w:adjustRightInd w:val="0"/>
              <w:snapToGrid w:val="0"/>
              <w:jc w:val="center"/>
              <w:textAlignment w:val="center"/>
              <w:rPr>
                <w:rFonts w:ascii="Times New Roman" w:hAnsi="Times New Roman" w:eastAsia="宋体" w:cs="Times New Roman"/>
                <w:color w:val="000000"/>
                <w:szCs w:val="21"/>
              </w:rPr>
            </w:pPr>
            <w:r>
              <w:rPr>
                <w:rFonts w:ascii="Times New Roman" w:hAnsi="Times New Roman" w:eastAsia="宋体" w:cs="Times New Roman"/>
                <w:snapToGrid w:val="0"/>
                <w:color w:val="000000"/>
                <w:kern w:val="0"/>
                <w:szCs w:val="21"/>
                <w:lang w:bidi="ar"/>
              </w:rPr>
              <w:t>用地面积（公顷）</w:t>
            </w:r>
          </w:p>
        </w:tc>
        <w:tc>
          <w:tcPr>
            <w:tcW w:w="625" w:type="pct"/>
            <w:shd w:val="clear" w:color="auto" w:fill="auto"/>
            <w:vAlign w:val="center"/>
          </w:tcPr>
          <w:p w14:paraId="7A5A8E8C">
            <w:pPr>
              <w:widowControl/>
              <w:autoSpaceDE w:val="0"/>
              <w:autoSpaceDN w:val="0"/>
              <w:adjustRightInd w:val="0"/>
              <w:snapToGrid w:val="0"/>
              <w:jc w:val="center"/>
              <w:textAlignment w:val="center"/>
              <w:rPr>
                <w:rFonts w:ascii="Times New Roman" w:hAnsi="Times New Roman" w:eastAsia="宋体" w:cs="Times New Roman"/>
                <w:color w:val="000000"/>
                <w:szCs w:val="21"/>
              </w:rPr>
            </w:pPr>
            <w:r>
              <w:rPr>
                <w:rFonts w:ascii="Times New Roman" w:hAnsi="Times New Roman" w:eastAsia="宋体" w:cs="Times New Roman"/>
                <w:snapToGrid w:val="0"/>
                <w:color w:val="000000"/>
                <w:kern w:val="0"/>
                <w:szCs w:val="21"/>
                <w:lang w:bidi="ar"/>
              </w:rPr>
              <w:t>容积率</w:t>
            </w:r>
          </w:p>
        </w:tc>
        <w:tc>
          <w:tcPr>
            <w:tcW w:w="625" w:type="pct"/>
            <w:shd w:val="clear" w:color="auto" w:fill="auto"/>
            <w:vAlign w:val="center"/>
          </w:tcPr>
          <w:p w14:paraId="2D29B555">
            <w:pPr>
              <w:widowControl/>
              <w:autoSpaceDE w:val="0"/>
              <w:autoSpaceDN w:val="0"/>
              <w:adjustRightInd w:val="0"/>
              <w:snapToGrid w:val="0"/>
              <w:jc w:val="center"/>
              <w:textAlignment w:val="center"/>
              <w:rPr>
                <w:rFonts w:ascii="Times New Roman" w:hAnsi="Times New Roman" w:eastAsia="宋体" w:cs="Times New Roman"/>
                <w:color w:val="000000"/>
                <w:szCs w:val="21"/>
              </w:rPr>
            </w:pPr>
            <w:r>
              <w:rPr>
                <w:rFonts w:ascii="Times New Roman" w:hAnsi="Times New Roman" w:eastAsia="宋体" w:cs="Times New Roman"/>
                <w:snapToGrid w:val="0"/>
                <w:color w:val="000000"/>
                <w:kern w:val="0"/>
                <w:szCs w:val="21"/>
                <w:lang w:bidi="ar"/>
              </w:rPr>
              <w:t>建筑密度（%）</w:t>
            </w:r>
          </w:p>
        </w:tc>
        <w:tc>
          <w:tcPr>
            <w:tcW w:w="693" w:type="pct"/>
            <w:shd w:val="clear" w:color="auto" w:fill="auto"/>
            <w:vAlign w:val="center"/>
          </w:tcPr>
          <w:p w14:paraId="2E7E62B8">
            <w:pPr>
              <w:widowControl/>
              <w:autoSpaceDE w:val="0"/>
              <w:autoSpaceDN w:val="0"/>
              <w:adjustRightInd w:val="0"/>
              <w:snapToGrid w:val="0"/>
              <w:jc w:val="center"/>
              <w:textAlignment w:val="center"/>
              <w:rPr>
                <w:rFonts w:ascii="Times New Roman" w:hAnsi="Times New Roman" w:eastAsia="宋体" w:cs="Times New Roman"/>
                <w:color w:val="000000"/>
                <w:szCs w:val="21"/>
              </w:rPr>
            </w:pPr>
            <w:r>
              <w:rPr>
                <w:rFonts w:ascii="Times New Roman" w:hAnsi="Times New Roman" w:eastAsia="宋体" w:cs="Times New Roman"/>
                <w:snapToGrid w:val="0"/>
                <w:color w:val="000000"/>
                <w:kern w:val="0"/>
                <w:szCs w:val="21"/>
                <w:lang w:bidi="ar"/>
              </w:rPr>
              <w:t>建筑限高（米）</w:t>
            </w:r>
          </w:p>
        </w:tc>
        <w:tc>
          <w:tcPr>
            <w:tcW w:w="556" w:type="pct"/>
            <w:shd w:val="clear" w:color="auto" w:fill="auto"/>
            <w:vAlign w:val="center"/>
          </w:tcPr>
          <w:p w14:paraId="199E3F4C">
            <w:pPr>
              <w:widowControl/>
              <w:autoSpaceDE w:val="0"/>
              <w:autoSpaceDN w:val="0"/>
              <w:adjustRightInd w:val="0"/>
              <w:snapToGrid w:val="0"/>
              <w:jc w:val="center"/>
              <w:textAlignment w:val="center"/>
              <w:rPr>
                <w:rFonts w:ascii="Times New Roman" w:hAnsi="Times New Roman" w:eastAsia="宋体" w:cs="Times New Roman"/>
                <w:color w:val="000000"/>
                <w:szCs w:val="21"/>
              </w:rPr>
            </w:pPr>
            <w:r>
              <w:rPr>
                <w:rFonts w:ascii="Times New Roman" w:hAnsi="Times New Roman" w:eastAsia="宋体" w:cs="Times New Roman"/>
                <w:snapToGrid w:val="0"/>
                <w:color w:val="000000"/>
                <w:kern w:val="0"/>
                <w:szCs w:val="21"/>
                <w:lang w:bidi="ar"/>
              </w:rPr>
              <w:t>绿地率（%）</w:t>
            </w:r>
          </w:p>
        </w:tc>
      </w:tr>
      <w:tr w14:paraId="0FA3B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24" w:type="pct"/>
            <w:shd w:val="clear" w:color="auto" w:fill="auto"/>
            <w:vAlign w:val="center"/>
          </w:tcPr>
          <w:p w14:paraId="271B3DE1">
            <w:pPr>
              <w:widowControl/>
              <w:autoSpaceDE w:val="0"/>
              <w:autoSpaceDN w:val="0"/>
              <w:adjustRightInd w:val="0"/>
              <w:snapToGrid w:val="0"/>
              <w:jc w:val="center"/>
              <w:textAlignment w:val="center"/>
              <w:rPr>
                <w:rFonts w:ascii="Times New Roman" w:hAnsi="Times New Roman" w:eastAsia="宋体" w:cs="Times New Roman"/>
                <w:color w:val="000000"/>
                <w:szCs w:val="21"/>
              </w:rPr>
            </w:pPr>
            <w:r>
              <w:rPr>
                <w:rFonts w:ascii="Times New Roman" w:hAnsi="Times New Roman" w:eastAsia="宋体" w:cs="Times New Roman"/>
                <w:snapToGrid w:val="0"/>
                <w:color w:val="000000"/>
                <w:kern w:val="0"/>
                <w:szCs w:val="21"/>
                <w:lang w:bidi="ar"/>
              </w:rPr>
              <w:t>1</w:t>
            </w:r>
          </w:p>
        </w:tc>
        <w:tc>
          <w:tcPr>
            <w:tcW w:w="625" w:type="pct"/>
            <w:shd w:val="clear" w:color="auto" w:fill="auto"/>
            <w:vAlign w:val="center"/>
          </w:tcPr>
          <w:p w14:paraId="31EB11C4">
            <w:pPr>
              <w:widowControl/>
              <w:autoSpaceDE w:val="0"/>
              <w:autoSpaceDN w:val="0"/>
              <w:adjustRightInd w:val="0"/>
              <w:snapToGrid w:val="0"/>
              <w:jc w:val="center"/>
              <w:textAlignment w:val="center"/>
              <w:rPr>
                <w:rFonts w:ascii="Times New Roman" w:hAnsi="Times New Roman" w:eastAsia="宋体" w:cs="Times New Roman"/>
                <w:color w:val="000000"/>
                <w:szCs w:val="21"/>
              </w:rPr>
            </w:pPr>
            <w:r>
              <w:rPr>
                <w:rFonts w:ascii="Times New Roman" w:hAnsi="Times New Roman" w:eastAsia="宋体" w:cs="Times New Roman"/>
                <w:snapToGrid w:val="0"/>
                <w:color w:val="000000"/>
                <w:kern w:val="0"/>
                <w:szCs w:val="21"/>
                <w:lang w:bidi="ar"/>
              </w:rPr>
              <w:t>0801</w:t>
            </w:r>
          </w:p>
        </w:tc>
        <w:tc>
          <w:tcPr>
            <w:tcW w:w="625" w:type="pct"/>
            <w:shd w:val="clear" w:color="auto" w:fill="auto"/>
            <w:vAlign w:val="center"/>
          </w:tcPr>
          <w:p w14:paraId="284BB81D">
            <w:pPr>
              <w:widowControl/>
              <w:autoSpaceDE w:val="0"/>
              <w:autoSpaceDN w:val="0"/>
              <w:adjustRightInd w:val="0"/>
              <w:snapToGrid w:val="0"/>
              <w:jc w:val="center"/>
              <w:textAlignment w:val="center"/>
              <w:rPr>
                <w:rFonts w:ascii="Times New Roman" w:hAnsi="Times New Roman" w:eastAsia="宋体" w:cs="Times New Roman"/>
                <w:color w:val="000000"/>
                <w:szCs w:val="21"/>
              </w:rPr>
            </w:pPr>
            <w:r>
              <w:rPr>
                <w:rFonts w:ascii="Times New Roman" w:hAnsi="Times New Roman" w:eastAsia="宋体" w:cs="Times New Roman"/>
                <w:snapToGrid w:val="0"/>
                <w:color w:val="000000"/>
                <w:kern w:val="0"/>
                <w:szCs w:val="21"/>
                <w:lang w:bidi="ar"/>
              </w:rPr>
              <w:t>机关团体用地</w:t>
            </w:r>
          </w:p>
        </w:tc>
        <w:tc>
          <w:tcPr>
            <w:tcW w:w="625" w:type="pct"/>
            <w:shd w:val="clear" w:color="auto" w:fill="auto"/>
            <w:vAlign w:val="center"/>
          </w:tcPr>
          <w:p w14:paraId="3E11F16E">
            <w:pPr>
              <w:widowControl/>
              <w:autoSpaceDE w:val="0"/>
              <w:autoSpaceDN w:val="0"/>
              <w:adjustRightInd w:val="0"/>
              <w:snapToGrid w:val="0"/>
              <w:jc w:val="center"/>
              <w:textAlignment w:val="center"/>
              <w:rPr>
                <w:rFonts w:ascii="Times New Roman" w:hAnsi="Times New Roman" w:eastAsia="宋体" w:cs="Times New Roman"/>
                <w:color w:val="000000"/>
                <w:szCs w:val="21"/>
              </w:rPr>
            </w:pPr>
            <w:r>
              <w:rPr>
                <w:rFonts w:ascii="Times New Roman" w:hAnsi="Times New Roman" w:eastAsia="宋体" w:cs="Times New Roman"/>
                <w:snapToGrid w:val="0"/>
                <w:color w:val="000000"/>
                <w:kern w:val="0"/>
                <w:szCs w:val="21"/>
                <w:lang w:bidi="ar"/>
              </w:rPr>
              <w:t>0.54</w:t>
            </w:r>
          </w:p>
        </w:tc>
        <w:tc>
          <w:tcPr>
            <w:tcW w:w="625" w:type="pct"/>
            <w:shd w:val="clear" w:color="auto" w:fill="auto"/>
            <w:vAlign w:val="center"/>
          </w:tcPr>
          <w:p w14:paraId="379F983A">
            <w:pPr>
              <w:widowControl/>
              <w:autoSpaceDE w:val="0"/>
              <w:autoSpaceDN w:val="0"/>
              <w:adjustRightInd w:val="0"/>
              <w:snapToGrid w:val="0"/>
              <w:jc w:val="center"/>
              <w:textAlignment w:val="center"/>
              <w:rPr>
                <w:rFonts w:ascii="Times New Roman" w:hAnsi="Times New Roman" w:eastAsia="宋体" w:cs="Times New Roman"/>
                <w:color w:val="000000"/>
                <w:szCs w:val="21"/>
              </w:rPr>
            </w:pPr>
            <w:r>
              <w:rPr>
                <w:rFonts w:ascii="Times New Roman" w:hAnsi="Times New Roman" w:eastAsia="宋体" w:cs="Times New Roman"/>
                <w:snapToGrid w:val="0"/>
                <w:color w:val="000000"/>
                <w:kern w:val="0"/>
                <w:szCs w:val="21"/>
                <w:lang w:bidi="ar"/>
              </w:rPr>
              <w:t>≤2.0</w:t>
            </w:r>
          </w:p>
        </w:tc>
        <w:tc>
          <w:tcPr>
            <w:tcW w:w="625" w:type="pct"/>
            <w:shd w:val="clear" w:color="auto" w:fill="auto"/>
            <w:vAlign w:val="center"/>
          </w:tcPr>
          <w:p w14:paraId="5F38A4ED">
            <w:pPr>
              <w:widowControl/>
              <w:autoSpaceDE w:val="0"/>
              <w:autoSpaceDN w:val="0"/>
              <w:adjustRightInd w:val="0"/>
              <w:snapToGrid w:val="0"/>
              <w:jc w:val="center"/>
              <w:textAlignment w:val="center"/>
              <w:rPr>
                <w:rFonts w:ascii="Times New Roman" w:hAnsi="Times New Roman" w:eastAsia="宋体" w:cs="Times New Roman"/>
                <w:color w:val="000000"/>
                <w:szCs w:val="21"/>
              </w:rPr>
            </w:pPr>
            <w:r>
              <w:rPr>
                <w:rFonts w:ascii="Times New Roman" w:hAnsi="Times New Roman" w:eastAsia="宋体" w:cs="Times New Roman"/>
                <w:snapToGrid w:val="0"/>
                <w:color w:val="000000"/>
                <w:kern w:val="0"/>
                <w:szCs w:val="21"/>
                <w:lang w:bidi="ar"/>
              </w:rPr>
              <w:t>≤40</w:t>
            </w:r>
          </w:p>
        </w:tc>
        <w:tc>
          <w:tcPr>
            <w:tcW w:w="693" w:type="pct"/>
            <w:shd w:val="clear" w:color="auto" w:fill="auto"/>
            <w:vAlign w:val="center"/>
          </w:tcPr>
          <w:p w14:paraId="467665BE">
            <w:pPr>
              <w:widowControl/>
              <w:autoSpaceDE w:val="0"/>
              <w:autoSpaceDN w:val="0"/>
              <w:adjustRightInd w:val="0"/>
              <w:snapToGrid w:val="0"/>
              <w:jc w:val="center"/>
              <w:textAlignment w:val="center"/>
              <w:rPr>
                <w:rFonts w:ascii="Times New Roman" w:hAnsi="Times New Roman" w:eastAsia="宋体" w:cs="Times New Roman"/>
                <w:color w:val="000000"/>
                <w:szCs w:val="21"/>
              </w:rPr>
            </w:pPr>
            <w:r>
              <w:rPr>
                <w:rFonts w:ascii="Times New Roman" w:hAnsi="Times New Roman" w:eastAsia="宋体" w:cs="Times New Roman"/>
                <w:snapToGrid w:val="0"/>
                <w:color w:val="000000"/>
                <w:kern w:val="0"/>
                <w:szCs w:val="21"/>
                <w:lang w:bidi="ar"/>
              </w:rPr>
              <w:t>24</w:t>
            </w:r>
          </w:p>
        </w:tc>
        <w:tc>
          <w:tcPr>
            <w:tcW w:w="556" w:type="pct"/>
            <w:shd w:val="clear" w:color="auto" w:fill="auto"/>
            <w:vAlign w:val="center"/>
          </w:tcPr>
          <w:p w14:paraId="45638E9D">
            <w:pPr>
              <w:widowControl/>
              <w:autoSpaceDE w:val="0"/>
              <w:autoSpaceDN w:val="0"/>
              <w:adjustRightInd w:val="0"/>
              <w:snapToGrid w:val="0"/>
              <w:jc w:val="center"/>
              <w:textAlignment w:val="center"/>
              <w:rPr>
                <w:rFonts w:ascii="Times New Roman" w:hAnsi="Times New Roman" w:eastAsia="宋体" w:cs="Times New Roman"/>
                <w:color w:val="000000"/>
                <w:szCs w:val="21"/>
              </w:rPr>
            </w:pPr>
            <w:r>
              <w:rPr>
                <w:rFonts w:ascii="Times New Roman" w:hAnsi="Times New Roman" w:eastAsia="宋体" w:cs="Times New Roman"/>
                <w:snapToGrid w:val="0"/>
                <w:color w:val="000000"/>
                <w:kern w:val="0"/>
                <w:szCs w:val="21"/>
                <w:lang w:bidi="ar"/>
              </w:rPr>
              <w:t>≥3</w:t>
            </w:r>
            <w:r>
              <w:rPr>
                <w:rFonts w:hint="eastAsia" w:ascii="Times New Roman" w:hAnsi="Times New Roman" w:eastAsia="宋体" w:cs="Times New Roman"/>
                <w:snapToGrid w:val="0"/>
                <w:color w:val="000000"/>
                <w:kern w:val="0"/>
                <w:szCs w:val="21"/>
                <w:lang w:bidi="ar"/>
              </w:rPr>
              <w:t>5</w:t>
            </w:r>
          </w:p>
        </w:tc>
      </w:tr>
    </w:tbl>
    <w:p w14:paraId="6E3C82EF">
      <w:pPr>
        <w:autoSpaceDE w:val="0"/>
        <w:autoSpaceDN w:val="0"/>
        <w:adjustRightInd w:val="0"/>
        <w:snapToGrid w:val="0"/>
        <w:spacing w:before="78" w:line="361" w:lineRule="auto"/>
        <w:ind w:right="30"/>
        <w:jc w:val="center"/>
        <w:rPr>
          <w:rFonts w:ascii="Times New Roman" w:hAnsi="Times New Roman" w:cs="Times New Roman"/>
          <w:sz w:val="28"/>
          <w:szCs w:val="28"/>
        </w:rPr>
      </w:pPr>
      <w:r>
        <w:rPr>
          <w:rFonts w:ascii="Times New Roman" w:hAnsi="Times New Roman" w:eastAsia="宋体" w:cs="Times New Roman"/>
          <w:sz w:val="28"/>
          <w:szCs w:val="28"/>
        </w:rPr>
        <w:drawing>
          <wp:inline distT="0" distB="0" distL="114300" distR="114300">
            <wp:extent cx="5312410" cy="3679190"/>
            <wp:effectExtent l="0" t="0" r="2540" b="16510"/>
            <wp:docPr id="29" name="图片 2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图片1"/>
                    <pic:cNvPicPr>
                      <a:picLocks noChangeAspect="1"/>
                    </pic:cNvPicPr>
                  </pic:nvPicPr>
                  <pic:blipFill>
                    <a:blip r:embed="rId6"/>
                    <a:stretch>
                      <a:fillRect/>
                    </a:stretch>
                  </pic:blipFill>
                  <pic:spPr>
                    <a:xfrm>
                      <a:off x="0" y="0"/>
                      <a:ext cx="5312410" cy="3679190"/>
                    </a:xfrm>
                    <a:prstGeom prst="rect">
                      <a:avLst/>
                    </a:prstGeom>
                  </pic:spPr>
                </pic:pic>
              </a:graphicData>
            </a:graphic>
          </wp:inline>
        </w:drawing>
      </w:r>
      <w:r>
        <w:rPr>
          <w:rFonts w:ascii="Times New Roman" w:hAnsi="Times New Roman" w:eastAsia="宋体" w:cs="Times New Roman"/>
          <w:b/>
          <w:bCs/>
          <w:spacing w:val="-4"/>
          <w:szCs w:val="21"/>
        </w:rPr>
        <w:t>图2   调整后地块规划图</w:t>
      </w:r>
    </w:p>
    <w:p w14:paraId="28F5B893">
      <w:pPr>
        <w:pStyle w:val="2"/>
        <w:spacing w:before="128"/>
        <w:ind w:right="100" w:firstLine="400"/>
        <w:rPr>
          <w:rFonts w:ascii="宋体" w:eastAsia="宋体" w:cs="宋体"/>
          <w:sz w:val="20"/>
          <w:szCs w:val="20"/>
        </w:rPr>
      </w:pPr>
    </w:p>
    <w:p w14:paraId="0F8792B7">
      <w:pPr>
        <w:pStyle w:val="2"/>
        <w:spacing w:before="128"/>
        <w:ind w:right="100" w:firstLine="400"/>
        <w:rPr>
          <w:rFonts w:ascii="宋体" w:eastAsia="宋体" w:cs="宋体"/>
          <w:sz w:val="20"/>
          <w:szCs w:val="20"/>
        </w:rPr>
      </w:pPr>
    </w:p>
    <w:p w14:paraId="6F30F100">
      <w:pPr>
        <w:pStyle w:val="2"/>
        <w:spacing w:before="128"/>
        <w:ind w:right="100" w:firstLine="400"/>
        <w:rPr>
          <w:rFonts w:ascii="宋体" w:eastAsia="宋体" w:cs="宋体"/>
          <w:sz w:val="20"/>
          <w:szCs w:val="20"/>
        </w:rPr>
      </w:pPr>
    </w:p>
    <w:p w14:paraId="7DBC19E6">
      <w:pPr>
        <w:pStyle w:val="2"/>
        <w:spacing w:before="128"/>
        <w:ind w:right="100" w:firstLine="400"/>
        <w:rPr>
          <w:rFonts w:ascii="宋体" w:eastAsia="宋体" w:cs="宋体"/>
          <w:sz w:val="20"/>
          <w:szCs w:val="20"/>
        </w:rPr>
      </w:pPr>
    </w:p>
    <w:p w14:paraId="4ABDD0CB">
      <w:pPr>
        <w:pStyle w:val="2"/>
        <w:spacing w:before="128"/>
        <w:ind w:right="100" w:firstLine="400"/>
        <w:rPr>
          <w:rFonts w:ascii="宋体" w:eastAsia="宋体" w:cs="宋体"/>
          <w:sz w:val="20"/>
          <w:szCs w:val="20"/>
        </w:rPr>
      </w:pPr>
    </w:p>
    <w:p w14:paraId="0BC17F76">
      <w:pPr>
        <w:pStyle w:val="2"/>
        <w:spacing w:before="128"/>
        <w:ind w:right="100" w:firstLine="400"/>
        <w:rPr>
          <w:rFonts w:ascii="宋体" w:eastAsia="宋体" w:cs="宋体"/>
          <w:sz w:val="20"/>
          <w:szCs w:val="20"/>
        </w:rPr>
      </w:pPr>
    </w:p>
    <w:p w14:paraId="2F823E10">
      <w:pPr>
        <w:pStyle w:val="2"/>
        <w:spacing w:before="128"/>
        <w:ind w:right="100" w:firstLine="400"/>
        <w:rPr>
          <w:rFonts w:ascii="宋体" w:eastAsia="宋体" w:cs="宋体"/>
          <w:sz w:val="20"/>
          <w:szCs w:val="20"/>
        </w:rPr>
      </w:pPr>
    </w:p>
    <w:p w14:paraId="3E6F403C">
      <w:pPr>
        <w:pStyle w:val="2"/>
        <w:spacing w:before="128"/>
        <w:ind w:right="100" w:firstLine="400"/>
        <w:rPr>
          <w:rFonts w:ascii="宋体" w:eastAsia="宋体" w:cs="宋体"/>
          <w:sz w:val="20"/>
          <w:szCs w:val="20"/>
        </w:rPr>
      </w:pPr>
    </w:p>
    <w:p w14:paraId="68DDE7DE">
      <w:pPr>
        <w:pStyle w:val="2"/>
        <w:spacing w:before="128"/>
        <w:ind w:right="100" w:firstLine="400"/>
        <w:rPr>
          <w:rFonts w:ascii="宋体" w:eastAsia="宋体" w:cs="宋体"/>
          <w:sz w:val="20"/>
          <w:szCs w:val="20"/>
        </w:rPr>
        <w:sectPr>
          <w:pgSz w:w="11910" w:h="16840"/>
          <w:pgMar w:top="1440" w:right="1800" w:bottom="1440" w:left="1800" w:header="720" w:footer="720" w:gutter="0"/>
          <w:cols w:space="720" w:num="1"/>
          <w:docGrid w:linePitch="299" w:charSpace="0"/>
        </w:sectPr>
      </w:pPr>
    </w:p>
    <w:p w14:paraId="5C346537">
      <w:pPr>
        <w:pStyle w:val="7"/>
        <w:ind w:firstLine="0" w:firstLineChars="0"/>
        <w:rPr>
          <w:rFonts w:hint="eastAsia" w:ascii="Times New Roman" w:hAnsi="Times New Roman" w:eastAsia="黑体" w:cs="Times New Roman"/>
          <w:lang w:eastAsia="zh-CN"/>
        </w:rPr>
      </w:pPr>
      <w:r>
        <w:rPr>
          <w:rFonts w:hint="eastAsia" w:ascii="Times New Roman" w:hAnsi="Times New Roman" w:eastAsia="黑体" w:cs="Times New Roman"/>
          <w:lang w:eastAsia="zh-CN"/>
        </w:rPr>
        <w:drawing>
          <wp:anchor distT="0" distB="0" distL="114300" distR="114300" simplePos="0" relativeHeight="251659264" behindDoc="0" locked="0" layoutInCell="1" allowOverlap="1">
            <wp:simplePos x="0" y="0"/>
            <wp:positionH relativeFrom="column">
              <wp:posOffset>-874395</wp:posOffset>
            </wp:positionH>
            <wp:positionV relativeFrom="paragraph">
              <wp:posOffset>-1090930</wp:posOffset>
            </wp:positionV>
            <wp:extent cx="10539095" cy="7451725"/>
            <wp:effectExtent l="0" t="0" r="14605" b="15875"/>
            <wp:wrapNone/>
            <wp:docPr id="1" name="图片 1" descr="微信图片_20251222173527_52_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51222173527_52_190"/>
                    <pic:cNvPicPr>
                      <a:picLocks noChangeAspect="1"/>
                    </pic:cNvPicPr>
                  </pic:nvPicPr>
                  <pic:blipFill>
                    <a:blip r:embed="rId7"/>
                    <a:stretch>
                      <a:fillRect/>
                    </a:stretch>
                  </pic:blipFill>
                  <pic:spPr>
                    <a:xfrm>
                      <a:off x="0" y="0"/>
                      <a:ext cx="10539095" cy="7451725"/>
                    </a:xfrm>
                    <a:prstGeom prst="rect">
                      <a:avLst/>
                    </a:prstGeom>
                  </pic:spPr>
                </pic:pic>
              </a:graphicData>
            </a:graphic>
          </wp:anchor>
        </w:drawing>
      </w:r>
    </w:p>
    <w:sectPr>
      <w:pgSz w:w="16840" w:h="11910" w:orient="landscape"/>
      <w:pgMar w:top="1797" w:right="1440" w:bottom="1797" w:left="1440" w:header="851" w:footer="992" w:gutter="0"/>
      <w:pgNumType w:start="1"/>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94D95"/>
    <w:rsid w:val="000E78D6"/>
    <w:rsid w:val="00114A78"/>
    <w:rsid w:val="001631F2"/>
    <w:rsid w:val="00172A27"/>
    <w:rsid w:val="00176FA8"/>
    <w:rsid w:val="00185E4B"/>
    <w:rsid w:val="002059F0"/>
    <w:rsid w:val="00207BB3"/>
    <w:rsid w:val="00231584"/>
    <w:rsid w:val="00270E82"/>
    <w:rsid w:val="0027634E"/>
    <w:rsid w:val="00281BBC"/>
    <w:rsid w:val="00287844"/>
    <w:rsid w:val="002A2C09"/>
    <w:rsid w:val="002B2E00"/>
    <w:rsid w:val="002B4041"/>
    <w:rsid w:val="00330F8C"/>
    <w:rsid w:val="00340B58"/>
    <w:rsid w:val="003457CE"/>
    <w:rsid w:val="0037478A"/>
    <w:rsid w:val="00376629"/>
    <w:rsid w:val="00383F62"/>
    <w:rsid w:val="003B3C5D"/>
    <w:rsid w:val="003D5D52"/>
    <w:rsid w:val="003D77DC"/>
    <w:rsid w:val="004051BF"/>
    <w:rsid w:val="00472081"/>
    <w:rsid w:val="004A0771"/>
    <w:rsid w:val="004A0AAC"/>
    <w:rsid w:val="005275D9"/>
    <w:rsid w:val="00552688"/>
    <w:rsid w:val="00561A3B"/>
    <w:rsid w:val="0057662E"/>
    <w:rsid w:val="005B1DCF"/>
    <w:rsid w:val="005E0A07"/>
    <w:rsid w:val="006556DB"/>
    <w:rsid w:val="006931C5"/>
    <w:rsid w:val="006B0AD8"/>
    <w:rsid w:val="006C69FC"/>
    <w:rsid w:val="0074166E"/>
    <w:rsid w:val="00775065"/>
    <w:rsid w:val="007A6B89"/>
    <w:rsid w:val="007B097C"/>
    <w:rsid w:val="00800631"/>
    <w:rsid w:val="00864330"/>
    <w:rsid w:val="00886155"/>
    <w:rsid w:val="008A1E58"/>
    <w:rsid w:val="008C000E"/>
    <w:rsid w:val="008D1F96"/>
    <w:rsid w:val="008F33F7"/>
    <w:rsid w:val="009450F3"/>
    <w:rsid w:val="00954400"/>
    <w:rsid w:val="00975026"/>
    <w:rsid w:val="00980DA1"/>
    <w:rsid w:val="009F32CF"/>
    <w:rsid w:val="00A57928"/>
    <w:rsid w:val="00A6070F"/>
    <w:rsid w:val="00AB57BE"/>
    <w:rsid w:val="00B02D13"/>
    <w:rsid w:val="00B57BF3"/>
    <w:rsid w:val="00B66183"/>
    <w:rsid w:val="00BC2CCE"/>
    <w:rsid w:val="00BD3DA0"/>
    <w:rsid w:val="00BE19B5"/>
    <w:rsid w:val="00C0373F"/>
    <w:rsid w:val="00C1320E"/>
    <w:rsid w:val="00C27DCC"/>
    <w:rsid w:val="00C8612D"/>
    <w:rsid w:val="00CC7AF2"/>
    <w:rsid w:val="00CD362A"/>
    <w:rsid w:val="00CD755F"/>
    <w:rsid w:val="00D55F53"/>
    <w:rsid w:val="00DD4AC8"/>
    <w:rsid w:val="00DE3F35"/>
    <w:rsid w:val="00E007C9"/>
    <w:rsid w:val="00E76CC8"/>
    <w:rsid w:val="00EA7915"/>
    <w:rsid w:val="00EF4CD0"/>
    <w:rsid w:val="00F53D64"/>
    <w:rsid w:val="00F545F0"/>
    <w:rsid w:val="00FC1E04"/>
    <w:rsid w:val="00FC6525"/>
    <w:rsid w:val="00FE673D"/>
    <w:rsid w:val="00FF2E80"/>
    <w:rsid w:val="00FF4FBF"/>
    <w:rsid w:val="01300774"/>
    <w:rsid w:val="017F1059"/>
    <w:rsid w:val="01991891"/>
    <w:rsid w:val="022E0F4E"/>
    <w:rsid w:val="02311FC6"/>
    <w:rsid w:val="02804F14"/>
    <w:rsid w:val="02C80D1C"/>
    <w:rsid w:val="0315615E"/>
    <w:rsid w:val="031A657B"/>
    <w:rsid w:val="031B29C0"/>
    <w:rsid w:val="032C7CDA"/>
    <w:rsid w:val="036C61F9"/>
    <w:rsid w:val="039C6813"/>
    <w:rsid w:val="03B13353"/>
    <w:rsid w:val="03BE1675"/>
    <w:rsid w:val="046A0385"/>
    <w:rsid w:val="04AA3DA9"/>
    <w:rsid w:val="04B27E13"/>
    <w:rsid w:val="04CD13CA"/>
    <w:rsid w:val="051F77EF"/>
    <w:rsid w:val="053A765E"/>
    <w:rsid w:val="054F027D"/>
    <w:rsid w:val="05883006"/>
    <w:rsid w:val="065373F5"/>
    <w:rsid w:val="066F170B"/>
    <w:rsid w:val="0673057B"/>
    <w:rsid w:val="068A1055"/>
    <w:rsid w:val="06BC195A"/>
    <w:rsid w:val="072229CE"/>
    <w:rsid w:val="07392921"/>
    <w:rsid w:val="078A67C1"/>
    <w:rsid w:val="07F26179"/>
    <w:rsid w:val="082D715E"/>
    <w:rsid w:val="083836B2"/>
    <w:rsid w:val="08815117"/>
    <w:rsid w:val="088653B9"/>
    <w:rsid w:val="088D1E1A"/>
    <w:rsid w:val="08B62F77"/>
    <w:rsid w:val="08C65647"/>
    <w:rsid w:val="08EA6D1C"/>
    <w:rsid w:val="08F12B67"/>
    <w:rsid w:val="09063738"/>
    <w:rsid w:val="097C5598"/>
    <w:rsid w:val="09E63128"/>
    <w:rsid w:val="0A1C1319"/>
    <w:rsid w:val="0A874E2B"/>
    <w:rsid w:val="0A9931F2"/>
    <w:rsid w:val="0AEF5265"/>
    <w:rsid w:val="0B297949"/>
    <w:rsid w:val="0B3A2FBC"/>
    <w:rsid w:val="0C030A0D"/>
    <w:rsid w:val="0CD10534"/>
    <w:rsid w:val="0CD54E7A"/>
    <w:rsid w:val="0D670F6E"/>
    <w:rsid w:val="0DBA2589"/>
    <w:rsid w:val="0E080F0C"/>
    <w:rsid w:val="0E5E7BE9"/>
    <w:rsid w:val="0E5F2258"/>
    <w:rsid w:val="0E604D3F"/>
    <w:rsid w:val="0EA445BE"/>
    <w:rsid w:val="0EC1582D"/>
    <w:rsid w:val="0ECB44A2"/>
    <w:rsid w:val="0F9266DE"/>
    <w:rsid w:val="0FA14408"/>
    <w:rsid w:val="0FAF28C1"/>
    <w:rsid w:val="100C3A6F"/>
    <w:rsid w:val="106766BF"/>
    <w:rsid w:val="10A57D60"/>
    <w:rsid w:val="10C14393"/>
    <w:rsid w:val="10D12490"/>
    <w:rsid w:val="10D701A5"/>
    <w:rsid w:val="11053ACB"/>
    <w:rsid w:val="1132596F"/>
    <w:rsid w:val="11382F54"/>
    <w:rsid w:val="11586F51"/>
    <w:rsid w:val="118F454F"/>
    <w:rsid w:val="119A7181"/>
    <w:rsid w:val="11F673AC"/>
    <w:rsid w:val="120A432F"/>
    <w:rsid w:val="122E77C3"/>
    <w:rsid w:val="127B1D77"/>
    <w:rsid w:val="12850637"/>
    <w:rsid w:val="129F6547"/>
    <w:rsid w:val="12CF561A"/>
    <w:rsid w:val="133F3C49"/>
    <w:rsid w:val="136175BF"/>
    <w:rsid w:val="13E746AC"/>
    <w:rsid w:val="14072A08"/>
    <w:rsid w:val="140A091C"/>
    <w:rsid w:val="141E0A7D"/>
    <w:rsid w:val="1489014A"/>
    <w:rsid w:val="14937AF8"/>
    <w:rsid w:val="14A2184E"/>
    <w:rsid w:val="14A87B4C"/>
    <w:rsid w:val="14DA22F3"/>
    <w:rsid w:val="15230113"/>
    <w:rsid w:val="154B69F0"/>
    <w:rsid w:val="15730CEC"/>
    <w:rsid w:val="158014CA"/>
    <w:rsid w:val="15EC659A"/>
    <w:rsid w:val="161358A1"/>
    <w:rsid w:val="16517100"/>
    <w:rsid w:val="165C3996"/>
    <w:rsid w:val="166B77A6"/>
    <w:rsid w:val="16C17644"/>
    <w:rsid w:val="16FD7A54"/>
    <w:rsid w:val="173E4865"/>
    <w:rsid w:val="17DF2DA1"/>
    <w:rsid w:val="185B0666"/>
    <w:rsid w:val="191A1954"/>
    <w:rsid w:val="191B2BE9"/>
    <w:rsid w:val="192211D9"/>
    <w:rsid w:val="197E45DF"/>
    <w:rsid w:val="1A367AA7"/>
    <w:rsid w:val="1A3A248C"/>
    <w:rsid w:val="1AC658CB"/>
    <w:rsid w:val="1B7E49D4"/>
    <w:rsid w:val="1B9D4DDA"/>
    <w:rsid w:val="1BB55EAF"/>
    <w:rsid w:val="1BE27A83"/>
    <w:rsid w:val="1BFC067F"/>
    <w:rsid w:val="1C294EE5"/>
    <w:rsid w:val="1C3D2AF6"/>
    <w:rsid w:val="1C6D0EF8"/>
    <w:rsid w:val="1C7C728C"/>
    <w:rsid w:val="1CB13223"/>
    <w:rsid w:val="1CC96E3F"/>
    <w:rsid w:val="1CCC728D"/>
    <w:rsid w:val="1CE16B03"/>
    <w:rsid w:val="1CF02FEC"/>
    <w:rsid w:val="1DAF084D"/>
    <w:rsid w:val="1E45225C"/>
    <w:rsid w:val="1E4D7577"/>
    <w:rsid w:val="1E731189"/>
    <w:rsid w:val="1E85176A"/>
    <w:rsid w:val="1E891294"/>
    <w:rsid w:val="1E8A2234"/>
    <w:rsid w:val="1EC8727D"/>
    <w:rsid w:val="1ED94E3B"/>
    <w:rsid w:val="1F106474"/>
    <w:rsid w:val="1F2634E5"/>
    <w:rsid w:val="1F5E4F7C"/>
    <w:rsid w:val="1F6B61CA"/>
    <w:rsid w:val="1F9C154B"/>
    <w:rsid w:val="1FF5619F"/>
    <w:rsid w:val="20367029"/>
    <w:rsid w:val="20E73110"/>
    <w:rsid w:val="20F720B8"/>
    <w:rsid w:val="2109666D"/>
    <w:rsid w:val="217769B7"/>
    <w:rsid w:val="21786FDF"/>
    <w:rsid w:val="218767B0"/>
    <w:rsid w:val="21D80CBE"/>
    <w:rsid w:val="225C311E"/>
    <w:rsid w:val="2356712A"/>
    <w:rsid w:val="23817A0D"/>
    <w:rsid w:val="23DA4C52"/>
    <w:rsid w:val="240930F6"/>
    <w:rsid w:val="242E2E7F"/>
    <w:rsid w:val="24373361"/>
    <w:rsid w:val="24495A19"/>
    <w:rsid w:val="2455414E"/>
    <w:rsid w:val="24765DEB"/>
    <w:rsid w:val="249D33EE"/>
    <w:rsid w:val="24C478CD"/>
    <w:rsid w:val="257D3055"/>
    <w:rsid w:val="259B3DF2"/>
    <w:rsid w:val="2615319D"/>
    <w:rsid w:val="26901897"/>
    <w:rsid w:val="26E33060"/>
    <w:rsid w:val="26E47D46"/>
    <w:rsid w:val="26FD061B"/>
    <w:rsid w:val="271462C1"/>
    <w:rsid w:val="272A1636"/>
    <w:rsid w:val="273B6139"/>
    <w:rsid w:val="274537AB"/>
    <w:rsid w:val="2783427E"/>
    <w:rsid w:val="27B550F4"/>
    <w:rsid w:val="286D79D6"/>
    <w:rsid w:val="287E1534"/>
    <w:rsid w:val="29A079F8"/>
    <w:rsid w:val="2A543B26"/>
    <w:rsid w:val="2A995AF7"/>
    <w:rsid w:val="2AD35924"/>
    <w:rsid w:val="2AE02D16"/>
    <w:rsid w:val="2B184DFD"/>
    <w:rsid w:val="2B7652E5"/>
    <w:rsid w:val="2C80115C"/>
    <w:rsid w:val="2D0623B7"/>
    <w:rsid w:val="2D0D709A"/>
    <w:rsid w:val="2D4E2003"/>
    <w:rsid w:val="2D704130"/>
    <w:rsid w:val="2D9478AD"/>
    <w:rsid w:val="2DCD25BD"/>
    <w:rsid w:val="2DE43504"/>
    <w:rsid w:val="2E0F319A"/>
    <w:rsid w:val="2E325216"/>
    <w:rsid w:val="2E720DDB"/>
    <w:rsid w:val="2ECA4480"/>
    <w:rsid w:val="2F025C9B"/>
    <w:rsid w:val="2F1150BD"/>
    <w:rsid w:val="2F156498"/>
    <w:rsid w:val="2F24642E"/>
    <w:rsid w:val="2F421FFE"/>
    <w:rsid w:val="2F61385D"/>
    <w:rsid w:val="2F794F6C"/>
    <w:rsid w:val="2FE910D9"/>
    <w:rsid w:val="302B4ADD"/>
    <w:rsid w:val="30596272"/>
    <w:rsid w:val="30850AE1"/>
    <w:rsid w:val="30D501DE"/>
    <w:rsid w:val="30DA2CFA"/>
    <w:rsid w:val="30EA748F"/>
    <w:rsid w:val="310D5D7A"/>
    <w:rsid w:val="31EF67D5"/>
    <w:rsid w:val="31F91305"/>
    <w:rsid w:val="32326C1D"/>
    <w:rsid w:val="32421EDA"/>
    <w:rsid w:val="3255041B"/>
    <w:rsid w:val="32675A1C"/>
    <w:rsid w:val="32D13D85"/>
    <w:rsid w:val="32E47886"/>
    <w:rsid w:val="339522E9"/>
    <w:rsid w:val="33CC519F"/>
    <w:rsid w:val="342D78E6"/>
    <w:rsid w:val="3440260E"/>
    <w:rsid w:val="34544615"/>
    <w:rsid w:val="34A13857"/>
    <w:rsid w:val="34C77851"/>
    <w:rsid w:val="34D7732F"/>
    <w:rsid w:val="34FB1253"/>
    <w:rsid w:val="35275BE9"/>
    <w:rsid w:val="35280661"/>
    <w:rsid w:val="3541747E"/>
    <w:rsid w:val="35767CF5"/>
    <w:rsid w:val="35AA5672"/>
    <w:rsid w:val="36003878"/>
    <w:rsid w:val="3612532B"/>
    <w:rsid w:val="36525893"/>
    <w:rsid w:val="367F39F3"/>
    <w:rsid w:val="368B148D"/>
    <w:rsid w:val="36991881"/>
    <w:rsid w:val="36C028F0"/>
    <w:rsid w:val="370428E3"/>
    <w:rsid w:val="37161F33"/>
    <w:rsid w:val="37466A69"/>
    <w:rsid w:val="376B1742"/>
    <w:rsid w:val="379716B3"/>
    <w:rsid w:val="37B07C2D"/>
    <w:rsid w:val="37C2609E"/>
    <w:rsid w:val="381A7CFD"/>
    <w:rsid w:val="382E24FD"/>
    <w:rsid w:val="38354108"/>
    <w:rsid w:val="38686A24"/>
    <w:rsid w:val="39024F1E"/>
    <w:rsid w:val="39B63394"/>
    <w:rsid w:val="39DB137C"/>
    <w:rsid w:val="39E610B7"/>
    <w:rsid w:val="3A436CC2"/>
    <w:rsid w:val="3A90621B"/>
    <w:rsid w:val="3ADC7F98"/>
    <w:rsid w:val="3AE008BA"/>
    <w:rsid w:val="3B1C2ED0"/>
    <w:rsid w:val="3B2A3644"/>
    <w:rsid w:val="3B405EF8"/>
    <w:rsid w:val="3B9D62AA"/>
    <w:rsid w:val="3BEF6AEF"/>
    <w:rsid w:val="3C062EA7"/>
    <w:rsid w:val="3C466D83"/>
    <w:rsid w:val="3C721FB2"/>
    <w:rsid w:val="3C7E56BA"/>
    <w:rsid w:val="3C8B4C4B"/>
    <w:rsid w:val="3C9A1392"/>
    <w:rsid w:val="3C9F7627"/>
    <w:rsid w:val="3CA1400A"/>
    <w:rsid w:val="3CE07C54"/>
    <w:rsid w:val="3D077D9D"/>
    <w:rsid w:val="3D373D9E"/>
    <w:rsid w:val="3D8D00CF"/>
    <w:rsid w:val="3DCB25A4"/>
    <w:rsid w:val="3DD72042"/>
    <w:rsid w:val="3DDC468A"/>
    <w:rsid w:val="3DE06574"/>
    <w:rsid w:val="3E6601D8"/>
    <w:rsid w:val="3E881805"/>
    <w:rsid w:val="3EFE4269"/>
    <w:rsid w:val="3F140772"/>
    <w:rsid w:val="3F1E0D62"/>
    <w:rsid w:val="3F2249EE"/>
    <w:rsid w:val="3F6B31EC"/>
    <w:rsid w:val="3FAA34FC"/>
    <w:rsid w:val="3FF3382B"/>
    <w:rsid w:val="400B6CBA"/>
    <w:rsid w:val="40883914"/>
    <w:rsid w:val="40933DC6"/>
    <w:rsid w:val="40B72F30"/>
    <w:rsid w:val="412C752B"/>
    <w:rsid w:val="41B840B7"/>
    <w:rsid w:val="41FB2E27"/>
    <w:rsid w:val="42271460"/>
    <w:rsid w:val="42354BD5"/>
    <w:rsid w:val="4253215C"/>
    <w:rsid w:val="42857C78"/>
    <w:rsid w:val="429065C4"/>
    <w:rsid w:val="42EC4279"/>
    <w:rsid w:val="42F90988"/>
    <w:rsid w:val="42FC34C3"/>
    <w:rsid w:val="43022E6E"/>
    <w:rsid w:val="433477A7"/>
    <w:rsid w:val="433709CD"/>
    <w:rsid w:val="433F5B17"/>
    <w:rsid w:val="43531DF9"/>
    <w:rsid w:val="43F26C4E"/>
    <w:rsid w:val="44191957"/>
    <w:rsid w:val="44BC108F"/>
    <w:rsid w:val="44BC4598"/>
    <w:rsid w:val="44C01DFA"/>
    <w:rsid w:val="45284DDE"/>
    <w:rsid w:val="45C106D4"/>
    <w:rsid w:val="46176C51"/>
    <w:rsid w:val="461A67F8"/>
    <w:rsid w:val="461E7E2A"/>
    <w:rsid w:val="463C6BE4"/>
    <w:rsid w:val="464E237E"/>
    <w:rsid w:val="475D7500"/>
    <w:rsid w:val="48123311"/>
    <w:rsid w:val="481F36CE"/>
    <w:rsid w:val="482B5B1D"/>
    <w:rsid w:val="483A3651"/>
    <w:rsid w:val="486E76FA"/>
    <w:rsid w:val="48AC7CE8"/>
    <w:rsid w:val="48B57320"/>
    <w:rsid w:val="48C75A74"/>
    <w:rsid w:val="491E6774"/>
    <w:rsid w:val="4958622E"/>
    <w:rsid w:val="49954513"/>
    <w:rsid w:val="49BA17A2"/>
    <w:rsid w:val="49E4401D"/>
    <w:rsid w:val="4A711A3F"/>
    <w:rsid w:val="4A7318CB"/>
    <w:rsid w:val="4B2372AF"/>
    <w:rsid w:val="4B5F51F7"/>
    <w:rsid w:val="4BB96DF1"/>
    <w:rsid w:val="4BC06272"/>
    <w:rsid w:val="4BDF083E"/>
    <w:rsid w:val="4BF462FD"/>
    <w:rsid w:val="4BF97366"/>
    <w:rsid w:val="4C3C6B4A"/>
    <w:rsid w:val="4C432B63"/>
    <w:rsid w:val="4C6C27FE"/>
    <w:rsid w:val="4CDA3B70"/>
    <w:rsid w:val="4CFA2DD6"/>
    <w:rsid w:val="4D1851FF"/>
    <w:rsid w:val="4D1E2129"/>
    <w:rsid w:val="4DB13621"/>
    <w:rsid w:val="4E244DCF"/>
    <w:rsid w:val="4E522BAA"/>
    <w:rsid w:val="4E71696B"/>
    <w:rsid w:val="4EB511C6"/>
    <w:rsid w:val="4EE7766D"/>
    <w:rsid w:val="4F781774"/>
    <w:rsid w:val="4FC73C89"/>
    <w:rsid w:val="4FC81EA9"/>
    <w:rsid w:val="4FE26E26"/>
    <w:rsid w:val="4FF60ADA"/>
    <w:rsid w:val="506E6D2A"/>
    <w:rsid w:val="50CE7024"/>
    <w:rsid w:val="50DA154C"/>
    <w:rsid w:val="50F4033F"/>
    <w:rsid w:val="511A22B6"/>
    <w:rsid w:val="517976DF"/>
    <w:rsid w:val="519225B2"/>
    <w:rsid w:val="519A3B38"/>
    <w:rsid w:val="51FE3D20"/>
    <w:rsid w:val="52256BDD"/>
    <w:rsid w:val="524A0C5A"/>
    <w:rsid w:val="52540FA4"/>
    <w:rsid w:val="527B7B34"/>
    <w:rsid w:val="527C6227"/>
    <w:rsid w:val="528438AA"/>
    <w:rsid w:val="53124D63"/>
    <w:rsid w:val="53546CF8"/>
    <w:rsid w:val="5355747F"/>
    <w:rsid w:val="535C63B4"/>
    <w:rsid w:val="53A015EB"/>
    <w:rsid w:val="53A95C31"/>
    <w:rsid w:val="54CE5A6C"/>
    <w:rsid w:val="55197978"/>
    <w:rsid w:val="5579002A"/>
    <w:rsid w:val="55952791"/>
    <w:rsid w:val="55A50F53"/>
    <w:rsid w:val="55BD0769"/>
    <w:rsid w:val="55ED3670"/>
    <w:rsid w:val="56413B0F"/>
    <w:rsid w:val="564143E2"/>
    <w:rsid w:val="568F6AB6"/>
    <w:rsid w:val="56B12D81"/>
    <w:rsid w:val="56ED117A"/>
    <w:rsid w:val="56F44935"/>
    <w:rsid w:val="570715E5"/>
    <w:rsid w:val="57411C2E"/>
    <w:rsid w:val="5828575E"/>
    <w:rsid w:val="58337595"/>
    <w:rsid w:val="583C2579"/>
    <w:rsid w:val="585C12B3"/>
    <w:rsid w:val="587B73DC"/>
    <w:rsid w:val="5884668A"/>
    <w:rsid w:val="58C27A46"/>
    <w:rsid w:val="590D7D81"/>
    <w:rsid w:val="5946418B"/>
    <w:rsid w:val="59873848"/>
    <w:rsid w:val="59DB79C1"/>
    <w:rsid w:val="5A345DFC"/>
    <w:rsid w:val="5A5C5FC0"/>
    <w:rsid w:val="5A907942"/>
    <w:rsid w:val="5AB51DDE"/>
    <w:rsid w:val="5AB94DBC"/>
    <w:rsid w:val="5B185999"/>
    <w:rsid w:val="5B423700"/>
    <w:rsid w:val="5BDA0F85"/>
    <w:rsid w:val="5C074AA0"/>
    <w:rsid w:val="5C082D58"/>
    <w:rsid w:val="5C3C0C49"/>
    <w:rsid w:val="5C3C2883"/>
    <w:rsid w:val="5C587F79"/>
    <w:rsid w:val="5C9D203C"/>
    <w:rsid w:val="5CA07EF1"/>
    <w:rsid w:val="5CDC034E"/>
    <w:rsid w:val="5D1C3EA8"/>
    <w:rsid w:val="5D350E35"/>
    <w:rsid w:val="5DE73F02"/>
    <w:rsid w:val="5E2308AF"/>
    <w:rsid w:val="5E5E5BF1"/>
    <w:rsid w:val="5E6A7014"/>
    <w:rsid w:val="5F034853"/>
    <w:rsid w:val="5F68005F"/>
    <w:rsid w:val="5FE879DD"/>
    <w:rsid w:val="5FFE7AF0"/>
    <w:rsid w:val="602C76D0"/>
    <w:rsid w:val="604806D6"/>
    <w:rsid w:val="606F3DEF"/>
    <w:rsid w:val="60771222"/>
    <w:rsid w:val="60833274"/>
    <w:rsid w:val="60C352F5"/>
    <w:rsid w:val="60C92F1C"/>
    <w:rsid w:val="612C71D2"/>
    <w:rsid w:val="613F44C5"/>
    <w:rsid w:val="61735960"/>
    <w:rsid w:val="619E79BC"/>
    <w:rsid w:val="61C343C8"/>
    <w:rsid w:val="61CE0FDD"/>
    <w:rsid w:val="62643A02"/>
    <w:rsid w:val="62B849C1"/>
    <w:rsid w:val="62CE2274"/>
    <w:rsid w:val="62F91144"/>
    <w:rsid w:val="63062832"/>
    <w:rsid w:val="6326239D"/>
    <w:rsid w:val="635F2B8C"/>
    <w:rsid w:val="6392305B"/>
    <w:rsid w:val="63E066E7"/>
    <w:rsid w:val="641D6789"/>
    <w:rsid w:val="642A51AD"/>
    <w:rsid w:val="647311B3"/>
    <w:rsid w:val="64834A18"/>
    <w:rsid w:val="649760A7"/>
    <w:rsid w:val="64B973BF"/>
    <w:rsid w:val="65103BF6"/>
    <w:rsid w:val="65156A0F"/>
    <w:rsid w:val="651F3855"/>
    <w:rsid w:val="657144CE"/>
    <w:rsid w:val="65F26ABD"/>
    <w:rsid w:val="66563426"/>
    <w:rsid w:val="667142E9"/>
    <w:rsid w:val="667A0FE3"/>
    <w:rsid w:val="670B4EA1"/>
    <w:rsid w:val="67A225C4"/>
    <w:rsid w:val="67B27442"/>
    <w:rsid w:val="67CE1180"/>
    <w:rsid w:val="682429AD"/>
    <w:rsid w:val="690A558F"/>
    <w:rsid w:val="69531D1B"/>
    <w:rsid w:val="69654CC4"/>
    <w:rsid w:val="69707D6F"/>
    <w:rsid w:val="69814804"/>
    <w:rsid w:val="698A155A"/>
    <w:rsid w:val="698E6BA5"/>
    <w:rsid w:val="6A24543E"/>
    <w:rsid w:val="6A4644E3"/>
    <w:rsid w:val="6A637019"/>
    <w:rsid w:val="6A7D4CB8"/>
    <w:rsid w:val="6B3005E7"/>
    <w:rsid w:val="6B5E7629"/>
    <w:rsid w:val="6B7910FB"/>
    <w:rsid w:val="6B88321C"/>
    <w:rsid w:val="6BA57BC0"/>
    <w:rsid w:val="6C0C2C42"/>
    <w:rsid w:val="6CF31108"/>
    <w:rsid w:val="6D3E26F6"/>
    <w:rsid w:val="6D430CF2"/>
    <w:rsid w:val="6DC531EB"/>
    <w:rsid w:val="6E093C28"/>
    <w:rsid w:val="6E153303"/>
    <w:rsid w:val="6E677851"/>
    <w:rsid w:val="6E7550EC"/>
    <w:rsid w:val="6E9B285D"/>
    <w:rsid w:val="6ECC6A8A"/>
    <w:rsid w:val="6EEF5D79"/>
    <w:rsid w:val="6F025A86"/>
    <w:rsid w:val="6F0843B4"/>
    <w:rsid w:val="6F4D5DEE"/>
    <w:rsid w:val="6F7638D9"/>
    <w:rsid w:val="6F9F603F"/>
    <w:rsid w:val="6FFA0EAB"/>
    <w:rsid w:val="70012BD5"/>
    <w:rsid w:val="7007129F"/>
    <w:rsid w:val="70A201E5"/>
    <w:rsid w:val="70C126A9"/>
    <w:rsid w:val="70C6049F"/>
    <w:rsid w:val="70FE773F"/>
    <w:rsid w:val="710818F2"/>
    <w:rsid w:val="710E7470"/>
    <w:rsid w:val="71165A05"/>
    <w:rsid w:val="713A0341"/>
    <w:rsid w:val="717927E4"/>
    <w:rsid w:val="717954EB"/>
    <w:rsid w:val="717A5CD2"/>
    <w:rsid w:val="71A81763"/>
    <w:rsid w:val="71AD2ED7"/>
    <w:rsid w:val="721F5F90"/>
    <w:rsid w:val="725014D3"/>
    <w:rsid w:val="72591E64"/>
    <w:rsid w:val="726E0E1E"/>
    <w:rsid w:val="72997ABE"/>
    <w:rsid w:val="729D6562"/>
    <w:rsid w:val="72EC68E0"/>
    <w:rsid w:val="73550FD3"/>
    <w:rsid w:val="735A6D8D"/>
    <w:rsid w:val="73DA317C"/>
    <w:rsid w:val="747E6AAC"/>
    <w:rsid w:val="74820857"/>
    <w:rsid w:val="74CF1A00"/>
    <w:rsid w:val="76602DBA"/>
    <w:rsid w:val="769017F3"/>
    <w:rsid w:val="76C87843"/>
    <w:rsid w:val="76E303BD"/>
    <w:rsid w:val="76E65DBF"/>
    <w:rsid w:val="775C61F1"/>
    <w:rsid w:val="77802650"/>
    <w:rsid w:val="77831D5D"/>
    <w:rsid w:val="77834AA2"/>
    <w:rsid w:val="779E6316"/>
    <w:rsid w:val="77AD53FB"/>
    <w:rsid w:val="77B06570"/>
    <w:rsid w:val="77DD4DDA"/>
    <w:rsid w:val="77E738E5"/>
    <w:rsid w:val="77FD4B7E"/>
    <w:rsid w:val="78106B67"/>
    <w:rsid w:val="78140BA0"/>
    <w:rsid w:val="782C73ED"/>
    <w:rsid w:val="79497DBF"/>
    <w:rsid w:val="794D2848"/>
    <w:rsid w:val="7959686A"/>
    <w:rsid w:val="79817637"/>
    <w:rsid w:val="79B27DFB"/>
    <w:rsid w:val="79FE11A7"/>
    <w:rsid w:val="7A3934AF"/>
    <w:rsid w:val="7A766F82"/>
    <w:rsid w:val="7AF04725"/>
    <w:rsid w:val="7B470BE7"/>
    <w:rsid w:val="7B4C06A3"/>
    <w:rsid w:val="7C0C2BC3"/>
    <w:rsid w:val="7C0C6BD3"/>
    <w:rsid w:val="7C4F155A"/>
    <w:rsid w:val="7C736082"/>
    <w:rsid w:val="7CCA1677"/>
    <w:rsid w:val="7D713E14"/>
    <w:rsid w:val="7D753F3A"/>
    <w:rsid w:val="7E033AC5"/>
    <w:rsid w:val="7E18102B"/>
    <w:rsid w:val="7E7A1034"/>
    <w:rsid w:val="7E9B73BB"/>
    <w:rsid w:val="7E9F0F5C"/>
    <w:rsid w:val="7EFD5D6B"/>
    <w:rsid w:val="7F1E3C13"/>
    <w:rsid w:val="7F9244E7"/>
    <w:rsid w:val="7FE002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5"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Body Text"/>
    <w:basedOn w:val="1"/>
    <w:link w:val="17"/>
    <w:qFormat/>
    <w:uiPriority w:val="0"/>
    <w:pPr>
      <w:spacing w:after="120"/>
    </w:pPr>
  </w:style>
  <w:style w:type="paragraph" w:styleId="3">
    <w:name w:val="Body Text Indent"/>
    <w:basedOn w:val="1"/>
    <w:qFormat/>
    <w:uiPriority w:val="0"/>
    <w:pPr>
      <w:ind w:firstLine="640" w:firstLineChars="200"/>
    </w:pPr>
    <w:rPr>
      <w:rFonts w:eastAsia="黑体"/>
      <w:sz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widowControl/>
      <w:spacing w:before="100" w:beforeAutospacing="1" w:after="100" w:afterAutospacing="1"/>
      <w:jc w:val="left"/>
    </w:pPr>
    <w:rPr>
      <w:rFonts w:ascii="宋体" w:hAnsi="Calibri" w:eastAsia="宋体" w:cs="宋体"/>
      <w:kern w:val="0"/>
      <w:sz w:val="24"/>
    </w:rPr>
  </w:style>
  <w:style w:type="paragraph" w:styleId="7">
    <w:name w:val="Body Text First Indent 2"/>
    <w:basedOn w:val="3"/>
    <w:qFormat/>
    <w:uiPriority w:val="0"/>
    <w:pPr>
      <w:ind w:firstLine="420"/>
    </w:p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Char Char Char"/>
    <w:basedOn w:val="1"/>
    <w:qFormat/>
    <w:uiPriority w:val="0"/>
    <w:pPr>
      <w:snapToGrid w:val="0"/>
      <w:spacing w:line="360" w:lineRule="auto"/>
      <w:ind w:firstLine="200" w:firstLineChars="200"/>
      <w:outlineLvl w:val="2"/>
    </w:pPr>
    <w:rPr>
      <w:rFonts w:eastAsia="仿宋_GB2312"/>
      <w:sz w:val="24"/>
    </w:rPr>
  </w:style>
  <w:style w:type="paragraph" w:customStyle="1" w:styleId="12">
    <w:name w:val="4正文"/>
    <w:basedOn w:val="1"/>
    <w:qFormat/>
    <w:uiPriority w:val="0"/>
    <w:pPr>
      <w:widowControl/>
      <w:snapToGrid w:val="0"/>
      <w:spacing w:line="360" w:lineRule="auto"/>
      <w:ind w:firstLine="200" w:firstLineChars="200"/>
      <w:jc w:val="left"/>
    </w:pPr>
    <w:rPr>
      <w:rFonts w:eastAsia="仿宋"/>
      <w:kern w:val="0"/>
      <w:sz w:val="28"/>
    </w:rPr>
  </w:style>
  <w:style w:type="character" w:customStyle="1" w:styleId="13">
    <w:name w:val="Body text|1_"/>
    <w:basedOn w:val="10"/>
    <w:link w:val="14"/>
    <w:qFormat/>
    <w:uiPriority w:val="0"/>
    <w:rPr>
      <w:rFonts w:ascii="宋体" w:hAnsi="宋体" w:eastAsia="宋体" w:cs="宋体"/>
      <w:sz w:val="30"/>
      <w:szCs w:val="30"/>
      <w:u w:val="none"/>
      <w:shd w:val="clear" w:color="auto" w:fill="auto"/>
      <w:lang w:val="zh-TW" w:eastAsia="zh-TW" w:bidi="zh-TW"/>
    </w:rPr>
  </w:style>
  <w:style w:type="paragraph" w:customStyle="1" w:styleId="14">
    <w:name w:val="Body text|1"/>
    <w:basedOn w:val="1"/>
    <w:link w:val="13"/>
    <w:qFormat/>
    <w:uiPriority w:val="0"/>
    <w:pPr>
      <w:spacing w:line="439" w:lineRule="auto"/>
      <w:ind w:firstLine="400"/>
    </w:pPr>
    <w:rPr>
      <w:rFonts w:ascii="宋体" w:hAnsi="宋体" w:eastAsia="宋体" w:cs="宋体"/>
      <w:sz w:val="30"/>
      <w:szCs w:val="30"/>
      <w:lang w:val="zh-TW" w:eastAsia="zh-TW" w:bidi="zh-TW"/>
    </w:rPr>
  </w:style>
  <w:style w:type="paragraph" w:styleId="15">
    <w:name w:val="List Paragraph"/>
    <w:basedOn w:val="1"/>
    <w:qFormat/>
    <w:uiPriority w:val="25"/>
    <w:pPr>
      <w:ind w:left="720"/>
      <w:contextualSpacing/>
    </w:pPr>
  </w:style>
  <w:style w:type="table" w:customStyle="1" w:styleId="16">
    <w:name w:val="无格式表格 21"/>
    <w:basedOn w:val="8"/>
    <w:qFormat/>
    <w:uiPriority w:val="42"/>
    <w:pPr>
      <w:jc w:val="both"/>
    </w:pPr>
    <w:rPr>
      <w:sz w:val="32"/>
      <w:szCs w:val="32"/>
    </w:rPr>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character" w:customStyle="1" w:styleId="17">
    <w:name w:val="正文文本 字符"/>
    <w:basedOn w:val="10"/>
    <w:link w:val="2"/>
    <w:qFormat/>
    <w:uiPriority w:val="0"/>
    <w:rPr>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832</Words>
  <Characters>927</Characters>
  <Lines>7</Lines>
  <Paragraphs>2</Paragraphs>
  <TotalTime>0</TotalTime>
  <ScaleCrop>false</ScaleCrop>
  <LinksUpToDate>false</LinksUpToDate>
  <CharactersWithSpaces>941</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2021-09-01T10:46:00Z</dcterms:created>
  <dc:creator>gtj</dc:creator>
  <cp:lastModifiedBy>十四师政务网</cp:lastModifiedBy>
  <cp:lastPrinted>2025-05-30T09:01:00Z</cp:lastPrinted>
  <dcterms:modified xsi:type="dcterms:W3CDTF">2026-02-02T05:00:21Z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7F1760C897C0444380058ABEF8D21A06_13</vt:lpwstr>
  </property>
  <property fmtid="{D5CDD505-2E9C-101B-9397-08002B2CF9AE}" pid="4" name="KSOTemplateDocerSaveRecord">
    <vt:lpwstr>eyJoZGlkIjoiNjNkMTQ3MDZjZDQwOGM4ZTVjY2I5OTgzNjVmYmVlZmQiLCJ1c2VySWQiOiIxNjU2NTU0MjE4In0=</vt:lpwstr>
  </property>
</Properties>
</file>