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6926803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</w:p>
    <w:tbl>
      <w:tblPr>
        <w:tblStyle w:val="10"/>
        <w:tblW w:w="0" w:type="auto"/>
        <w:tblInd w:w="55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3100"/>
        <w:gridCol w:w="421"/>
      </w:tblGrid>
      <w:tr w14:paraId="18D0B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5647D9E3">
            <w:pP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2A3917A9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15"/>
                <w:rFonts w:hint="eastAsia" w:ascii="楷体_GB2312" w:hAnsi="Times New Roman" w:eastAsia="楷体_GB2312" w:cs="楷体_GB2312"/>
                <w:b/>
                <w:bCs/>
                <w:sz w:val="30"/>
                <w:szCs w:val="30"/>
                <w:bdr w:val="none" w:color="auto" w:sz="0" w:space="0"/>
              </w:rPr>
              <w:t>统一社会信用代码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235819F5">
            <w:pP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</w:p>
        </w:tc>
      </w:tr>
      <w:tr w14:paraId="061989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748EF801">
            <w:pP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5523B21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15"/>
                <w:rFonts w:hint="default" w:ascii="Times New Roman" w:hAnsi="Times New Roman" w:eastAsia="楷体_GB2312" w:cs="Times New Roman"/>
                <w:b/>
                <w:bCs/>
                <w:sz w:val="30"/>
                <w:szCs w:val="30"/>
                <w:bdr w:val="none" w:color="auto" w:sz="0" w:space="0"/>
              </w:rPr>
              <w:t>12991400MB1J50365J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54B0F7D3">
            <w:pP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</w:p>
        </w:tc>
      </w:tr>
    </w:tbl>
    <w:p w14:paraId="138DF7B0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02A8CCEF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74E87825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55EB559C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3F5844D7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Style w:val="19"/>
          <w:rFonts w:hint="eastAsia" w:ascii="黑体" w:hAnsi="宋体" w:eastAsia="黑体" w:cs="黑体"/>
          <w:b/>
          <w:bCs/>
          <w:spacing w:val="40"/>
          <w:sz w:val="52"/>
          <w:szCs w:val="52"/>
        </w:rPr>
        <w:t>事业单位法人年度报告书</w:t>
      </w:r>
    </w:p>
    <w:p w14:paraId="51A067A4">
      <w:pPr>
        <w:jc w:val="center"/>
        <w:rPr>
          <w:rFonts w:hint="default" w:ascii="Times New Roman" w:hAnsi="Times New Roman" w:eastAsia="黑体" w:cs="Times New Roman"/>
          <w:b/>
          <w:bCs/>
          <w:spacing w:val="30"/>
          <w:kern w:val="2"/>
          <w:sz w:val="21"/>
          <w:szCs w:val="21"/>
        </w:rPr>
      </w:pPr>
      <w:r>
        <w:rPr>
          <w:rFonts w:hint="default" w:ascii="Times New Roman" w:hAnsi="Times New Roman" w:eastAsia="黑体" w:cs="Times New Roman"/>
          <w:b/>
          <w:bCs/>
          <w:spacing w:val="30"/>
          <w:kern w:val="2"/>
          <w:sz w:val="21"/>
          <w:szCs w:val="21"/>
        </w:rPr>
        <w:t xml:space="preserve"> </w:t>
      </w:r>
    </w:p>
    <w:tbl>
      <w:tblPr>
        <w:tblStyle w:val="10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1814"/>
        <w:gridCol w:w="1440"/>
      </w:tblGrid>
      <w:tr w14:paraId="31776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0F2C403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13"/>
                <w:rFonts w:hint="eastAsia" w:ascii="楷体_GB2312" w:hAnsi="Times New Roman" w:eastAsia="楷体_GB2312" w:cs="楷体_GB2312"/>
                <w:b/>
                <w:bCs/>
                <w:sz w:val="30"/>
                <w:szCs w:val="30"/>
                <w:bdr w:val="none" w:color="auto" w:sz="0" w:space="0"/>
              </w:rPr>
              <w:t>（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2255C19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32"/>
                <w:szCs w:val="32"/>
                <w:bdr w:val="none" w:color="auto" w:sz="0" w:space="0"/>
              </w:rPr>
              <w:t>2025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703EF0E8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13"/>
                <w:rFonts w:hint="eastAsia" w:ascii="楷体_GB2312" w:hAnsi="Times New Roman" w:eastAsia="楷体_GB2312" w:cs="楷体_GB2312"/>
                <w:b/>
                <w:bCs/>
                <w:sz w:val="30"/>
                <w:szCs w:val="30"/>
                <w:bdr w:val="none" w:color="auto" w:sz="0" w:space="0"/>
              </w:rPr>
              <w:t>）年度</w:t>
            </w:r>
          </w:p>
        </w:tc>
      </w:tr>
    </w:tbl>
    <w:p w14:paraId="4EF6BB66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42DC6A62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4C316570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6E160A24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tbl>
      <w:tblPr>
        <w:tblStyle w:val="10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5294"/>
      </w:tblGrid>
      <w:tr w14:paraId="6B4FE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bottom"/>
          </w:tcPr>
          <w:p w14:paraId="23627E96">
            <w:pPr>
              <w:jc w:val="distribute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1"/>
                <w:rFonts w:hint="eastAsia" w:ascii="黑体" w:hAnsi="宋体" w:eastAsia="黑体" w:cs="黑体"/>
                <w:b/>
                <w:bCs/>
                <w:sz w:val="36"/>
                <w:szCs w:val="36"/>
                <w:bdr w:val="none" w:color="auto" w:sz="0" w:space="0"/>
              </w:rPr>
              <w:t>单</w:t>
            </w:r>
            <w:r>
              <w:rPr>
                <w:rStyle w:val="21"/>
                <w:rFonts w:hint="default" w:ascii="Times New Roman" w:hAnsi="Times New Roman" w:eastAsia="黑体" w:cs="Times New Roman"/>
                <w:b/>
                <w:bCs/>
                <w:sz w:val="36"/>
                <w:szCs w:val="36"/>
                <w:bdr w:val="none" w:color="auto" w:sz="0" w:space="0"/>
              </w:rPr>
              <w:t xml:space="preserve"> </w:t>
            </w:r>
            <w:r>
              <w:rPr>
                <w:rStyle w:val="21"/>
                <w:rFonts w:hint="eastAsia" w:ascii="黑体" w:hAnsi="宋体" w:eastAsia="黑体" w:cs="黑体"/>
                <w:b/>
                <w:bCs/>
                <w:sz w:val="36"/>
                <w:szCs w:val="36"/>
                <w:bdr w:val="none" w:color="auto" w:sz="0" w:space="0"/>
              </w:rPr>
              <w:t>位</w:t>
            </w:r>
            <w:r>
              <w:rPr>
                <w:rStyle w:val="21"/>
                <w:rFonts w:hint="default" w:ascii="Times New Roman" w:hAnsi="Times New Roman" w:eastAsia="黑体" w:cs="Times New Roman"/>
                <w:b/>
                <w:bCs/>
                <w:sz w:val="36"/>
                <w:szCs w:val="36"/>
                <w:bdr w:val="none" w:color="auto" w:sz="0" w:space="0"/>
              </w:rPr>
              <w:t xml:space="preserve"> </w:t>
            </w:r>
            <w:r>
              <w:rPr>
                <w:rStyle w:val="21"/>
                <w:rFonts w:hint="eastAsia" w:ascii="黑体" w:hAnsi="宋体" w:eastAsia="黑体" w:cs="黑体"/>
                <w:b/>
                <w:bCs/>
                <w:sz w:val="36"/>
                <w:szCs w:val="36"/>
                <w:bdr w:val="none" w:color="auto" w:sz="0" w:space="0"/>
              </w:rPr>
              <w:t>名</w:t>
            </w:r>
            <w:r>
              <w:rPr>
                <w:rStyle w:val="21"/>
                <w:rFonts w:hint="default" w:ascii="Times New Roman" w:hAnsi="Times New Roman" w:eastAsia="黑体" w:cs="Times New Roman"/>
                <w:b/>
                <w:bCs/>
                <w:sz w:val="36"/>
                <w:szCs w:val="36"/>
                <w:bdr w:val="none" w:color="auto" w:sz="0" w:space="0"/>
              </w:rPr>
              <w:t xml:space="preserve"> </w:t>
            </w:r>
            <w:r>
              <w:rPr>
                <w:rStyle w:val="21"/>
                <w:rFonts w:hint="eastAsia" w:ascii="黑体" w:hAnsi="宋体" w:eastAsia="黑体" w:cs="黑体"/>
                <w:b/>
                <w:bCs/>
                <w:sz w:val="36"/>
                <w:szCs w:val="36"/>
                <w:bdr w:val="none" w:color="auto" w:sz="0" w:space="0"/>
              </w:rPr>
              <w:t>称</w:t>
            </w:r>
          </w:p>
        </w:tc>
        <w:tc>
          <w:tcPr>
            <w:tcW w:w="529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/>
            <w:vAlign w:val="bottom"/>
          </w:tcPr>
          <w:p w14:paraId="6F71ED2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line="400" w:lineRule="exact"/>
              <w:jc w:val="center"/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sz w:val="32"/>
                <w:szCs w:val="32"/>
                <w:bdr w:val="none" w:color="auto" w:sz="0" w:space="0"/>
              </w:rPr>
              <w:t>新疆生产建设兵团第十四师</w:t>
            </w:r>
          </w:p>
          <w:p w14:paraId="5F77F14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sz w:val="32"/>
                <w:szCs w:val="32"/>
                <w:bdr w:val="none" w:color="auto" w:sz="0" w:space="0"/>
              </w:rPr>
              <w:t>人民群众信访服务中心</w:t>
            </w:r>
          </w:p>
        </w:tc>
      </w:tr>
    </w:tbl>
    <w:p w14:paraId="08D249A6">
      <w:pPr>
        <w:rPr>
          <w:rFonts w:hint="default" w:ascii="Times New Roman" w:hAnsi="Times New Roman" w:eastAsia="黑体" w:cs="Times New Roman"/>
          <w:b/>
          <w:bCs/>
          <w:kern w:val="2"/>
          <w:sz w:val="24"/>
          <w:szCs w:val="24"/>
          <w:u w:val="single"/>
        </w:rPr>
      </w:pPr>
      <w:r>
        <w:rPr>
          <w:rFonts w:hint="default" w:ascii="Times New Roman" w:hAnsi="Times New Roman" w:eastAsia="黑体" w:cs="Times New Roman"/>
          <w:b/>
          <w:bCs/>
          <w:kern w:val="2"/>
          <w:sz w:val="24"/>
          <w:szCs w:val="24"/>
          <w:u w:val="single"/>
        </w:rPr>
        <w:t xml:space="preserve"> </w:t>
      </w:r>
    </w:p>
    <w:tbl>
      <w:tblPr>
        <w:tblStyle w:val="10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5"/>
        <w:gridCol w:w="5254"/>
      </w:tblGrid>
      <w:tr w14:paraId="5316EB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bottom"/>
          </w:tcPr>
          <w:p w14:paraId="03362514">
            <w:pPr>
              <w:jc w:val="distribute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1"/>
                <w:rFonts w:hint="eastAsia" w:ascii="黑体" w:hAnsi="宋体" w:eastAsia="黑体" w:cs="黑体"/>
                <w:b/>
                <w:bCs/>
                <w:sz w:val="36"/>
                <w:szCs w:val="36"/>
                <w:bdr w:val="none" w:color="auto" w:sz="0" w:space="0"/>
              </w:rPr>
              <w:t>法</w:t>
            </w:r>
            <w:r>
              <w:rPr>
                <w:rStyle w:val="21"/>
                <w:rFonts w:hint="eastAsia" w:ascii="黑体" w:hAnsi="宋体" w:eastAsia="黑体" w:cs="黑体"/>
                <w:b/>
                <w:bCs/>
                <w:spacing w:val="30"/>
                <w:sz w:val="36"/>
                <w:szCs w:val="36"/>
                <w:bdr w:val="none" w:color="auto" w:sz="0" w:space="0"/>
              </w:rPr>
              <w:t>定代表</w:t>
            </w:r>
            <w:r>
              <w:rPr>
                <w:rStyle w:val="21"/>
                <w:rFonts w:hint="eastAsia" w:ascii="黑体" w:hAnsi="宋体" w:eastAsia="黑体" w:cs="黑体"/>
                <w:b/>
                <w:bCs/>
                <w:sz w:val="36"/>
                <w:szCs w:val="36"/>
                <w:bdr w:val="none" w:color="auto" w:sz="0" w:space="0"/>
              </w:rPr>
              <w:t>人</w:t>
            </w:r>
          </w:p>
        </w:tc>
        <w:tc>
          <w:tcPr>
            <w:tcW w:w="525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/>
            <w:vAlign w:val="bottom"/>
          </w:tcPr>
          <w:p w14:paraId="7572187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sz w:val="32"/>
                <w:szCs w:val="32"/>
                <w:bdr w:val="none" w:color="auto" w:sz="0" w:space="0"/>
              </w:rPr>
              <w:t>张德平</w:t>
            </w:r>
          </w:p>
        </w:tc>
      </w:tr>
    </w:tbl>
    <w:p w14:paraId="219967A3">
      <w:pPr>
        <w:ind w:left="0" w:firstLine="723" w:firstLineChars="300"/>
        <w:rPr>
          <w:rFonts w:hint="default" w:ascii="Times New Roman" w:hAnsi="Times New Roman" w:eastAsia="黑体" w:cs="Times New Roman"/>
          <w:b/>
          <w:bCs/>
          <w:kern w:val="2"/>
          <w:sz w:val="24"/>
          <w:szCs w:val="24"/>
          <w:u w:val="single"/>
        </w:rPr>
      </w:pPr>
      <w:r>
        <w:rPr>
          <w:rFonts w:hint="default" w:ascii="Times New Roman" w:hAnsi="Times New Roman" w:eastAsia="黑体" w:cs="Times New Roman"/>
          <w:b/>
          <w:bCs/>
          <w:kern w:val="2"/>
          <w:sz w:val="24"/>
          <w:szCs w:val="24"/>
          <w:u w:val="single"/>
        </w:rPr>
        <w:t xml:space="preserve"> </w:t>
      </w:r>
    </w:p>
    <w:tbl>
      <w:tblPr>
        <w:tblStyle w:val="10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5294"/>
      </w:tblGrid>
      <w:tr w14:paraId="7BA61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bottom"/>
          </w:tcPr>
          <w:p w14:paraId="3C456E75">
            <w:pP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bottom"/>
          </w:tcPr>
          <w:p w14:paraId="7367E65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  <w:bdr w:val="none" w:color="auto" w:sz="0" w:space="0"/>
              </w:rPr>
              <w:t xml:space="preserve"> </w:t>
            </w:r>
          </w:p>
        </w:tc>
      </w:tr>
    </w:tbl>
    <w:p w14:paraId="560AF6D1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p w14:paraId="456D356A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p w14:paraId="28B7F66A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p w14:paraId="66BAB11C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p w14:paraId="4E2198E4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p w14:paraId="38E148E4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p w14:paraId="4CC603CC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p w14:paraId="37EF9AB6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p w14:paraId="44881038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p w14:paraId="06626F9A">
      <w:pPr>
        <w:jc w:val="center"/>
        <w:rPr>
          <w:rFonts w:hint="default" w:ascii="Times New Roman" w:hAnsi="Times New Roman" w:eastAsia="楷体_GB2312" w:cs="Times New Roman"/>
          <w:b/>
          <w:bCs/>
          <w:kern w:val="2"/>
          <w:sz w:val="32"/>
          <w:szCs w:val="32"/>
        </w:rPr>
      </w:pPr>
      <w:r>
        <w:rPr>
          <w:rStyle w:val="23"/>
          <w:rFonts w:hint="eastAsia" w:ascii="楷体_GB2312" w:hAnsi="Times New Roman" w:eastAsia="楷体_GB2312" w:cs="楷体_GB2312"/>
          <w:b/>
          <w:bCs/>
          <w:sz w:val="32"/>
          <w:szCs w:val="32"/>
        </w:rPr>
        <w:t>国家事业单位登记管理局制</w:t>
      </w:r>
    </w:p>
    <w:p w14:paraId="2615EA25">
      <w:pPr>
        <w:jc w:val="center"/>
        <w:rPr>
          <w:rFonts w:hint="default" w:ascii="Times New Roman" w:hAnsi="Times New Roman" w:eastAsia="楷体_GB2312" w:cs="Times New Roman"/>
          <w:b/>
          <w:bCs/>
          <w:kern w:val="2"/>
          <w:sz w:val="32"/>
          <w:szCs w:val="32"/>
        </w:rPr>
      </w:pPr>
      <w:r>
        <w:rPr>
          <w:rStyle w:val="23"/>
          <w:rFonts w:hint="default" w:ascii="Times New Roman" w:hAnsi="Times New Roman" w:eastAsia="楷体_GB2312" w:cs="Times New Roman"/>
          <w:b/>
          <w:bCs/>
          <w:sz w:val="32"/>
          <w:szCs w:val="32"/>
        </w:rPr>
        <w:t xml:space="preserve"> </w:t>
      </w:r>
    </w:p>
    <w:p w14:paraId="6A015D96">
      <w:pP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tbl>
      <w:tblPr>
        <w:tblStyle w:val="10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9"/>
        <w:gridCol w:w="2316"/>
        <w:gridCol w:w="1483"/>
        <w:gridCol w:w="1919"/>
        <w:gridCol w:w="1942"/>
      </w:tblGrid>
      <w:tr w14:paraId="1916C7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  <w:jc w:val="center"/>
        </w:trPr>
        <w:tc>
          <w:tcPr>
            <w:tcW w:w="2300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0" w:type="dxa"/>
            </w:tcMar>
            <w:vAlign w:val="center"/>
          </w:tcPr>
          <w:p w14:paraId="635AA92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《事业</w:t>
            </w:r>
          </w:p>
          <w:p w14:paraId="7D40974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单位</w:t>
            </w:r>
          </w:p>
          <w:p w14:paraId="2A8270C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法人</w:t>
            </w:r>
          </w:p>
          <w:p w14:paraId="74C68CF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证书》</w:t>
            </w:r>
          </w:p>
          <w:p w14:paraId="1E1CBBD9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登载</w:t>
            </w:r>
          </w:p>
          <w:p w14:paraId="0370939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事项</w:t>
            </w:r>
          </w:p>
        </w:tc>
        <w:tc>
          <w:tcPr>
            <w:tcW w:w="2115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E718C4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单位名称</w:t>
            </w:r>
          </w:p>
        </w:tc>
        <w:tc>
          <w:tcPr>
            <w:tcW w:w="5925" w:type="dxa"/>
            <w:gridSpan w:val="3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40DF94C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line="400" w:lineRule="exact"/>
              <w:jc w:val="center"/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sz w:val="32"/>
                <w:szCs w:val="32"/>
                <w:bdr w:val="none" w:color="auto" w:sz="0" w:space="0"/>
              </w:rPr>
              <w:t>新疆生产建设兵团第十四师</w:t>
            </w:r>
          </w:p>
          <w:p w14:paraId="5A3C3AE6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sz w:val="32"/>
                <w:szCs w:val="32"/>
                <w:bdr w:val="none" w:color="auto" w:sz="0" w:space="0"/>
              </w:rPr>
              <w:t>人民群众信访服务中心</w:t>
            </w:r>
          </w:p>
        </w:tc>
      </w:tr>
      <w:tr w14:paraId="13C22F9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6" w:hRule="atLeast"/>
          <w:jc w:val="center"/>
        </w:trPr>
        <w:tc>
          <w:tcPr>
            <w:tcW w:w="230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0" w:type="dxa"/>
            </w:tcMar>
            <w:vAlign w:val="center"/>
          </w:tcPr>
          <w:p w14:paraId="3E50A7D7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58BB1C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宗</w:t>
            </w:r>
            <w:r>
              <w:rPr>
                <w:rStyle w:val="23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  <w:bdr w:val="none" w:color="auto" w:sz="0" w:space="0"/>
              </w:rPr>
              <w:t xml:space="preserve"> </w:t>
            </w: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旨</w:t>
            </w:r>
            <w:r>
              <w:rPr>
                <w:rStyle w:val="23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  <w:bdr w:val="none" w:color="auto" w:sz="0" w:space="0"/>
              </w:rPr>
              <w:t xml:space="preserve"> </w:t>
            </w: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和</w:t>
            </w:r>
          </w:p>
          <w:p w14:paraId="540317A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业务范围</w:t>
            </w:r>
          </w:p>
        </w:tc>
        <w:tc>
          <w:tcPr>
            <w:tcW w:w="59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3AAF685A">
            <w:pPr>
              <w:ind w:left="0" w:firstLine="480" w:firstLineChars="200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24"/>
                <w:szCs w:val="24"/>
                <w:bdr w:val="none" w:color="auto" w:sz="0" w:space="0"/>
              </w:rPr>
              <w:t>承担师市机关各部门接访服务保障工作；承担来访群众法律咨询、心理疏导等协调服务工作；承担信访热线电话服务工作；承担应急值守、视频接访服务工作；承担驻京信访工作组有关服务保障工作；承担接访大厅日常管理等工作。</w:t>
            </w:r>
          </w:p>
        </w:tc>
      </w:tr>
      <w:tr w14:paraId="23F6D1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30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0" w:type="dxa"/>
            </w:tcMar>
            <w:vAlign w:val="center"/>
          </w:tcPr>
          <w:p w14:paraId="2FBEE7B7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E1F03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住</w:t>
            </w:r>
            <w:r>
              <w:rPr>
                <w:rStyle w:val="23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  <w:bdr w:val="none" w:color="auto" w:sz="0" w:space="0"/>
              </w:rPr>
              <w:t xml:space="preserve">    </w:t>
            </w: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所</w:t>
            </w:r>
          </w:p>
        </w:tc>
        <w:tc>
          <w:tcPr>
            <w:tcW w:w="59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626C41B2">
            <w:pPr>
              <w:ind w:left="0" w:firstLine="480" w:firstLineChars="200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24"/>
                <w:szCs w:val="24"/>
                <w:bdr w:val="none" w:color="auto" w:sz="0" w:space="0"/>
              </w:rPr>
              <w:t>新疆生产建设兵团第十四师昆玉市龙康苑</w:t>
            </w:r>
            <w:r>
              <w:rPr>
                <w:rFonts w:hint="default" w:ascii="Times New Roman" w:hAnsi="Times New Roman" w:eastAsia="楷体_GB2312" w:cs="Times New Roman"/>
                <w:kern w:val="2"/>
                <w:sz w:val="24"/>
                <w:szCs w:val="24"/>
                <w:bdr w:val="none" w:color="auto" w:sz="0" w:space="0"/>
              </w:rPr>
              <w:t>24-105</w:t>
            </w:r>
            <w:r>
              <w:rPr>
                <w:rFonts w:hint="eastAsia" w:ascii="楷体_GB2312" w:hAnsi="Times New Roman" w:eastAsia="楷体_GB2312" w:cs="楷体_GB2312"/>
                <w:kern w:val="2"/>
                <w:sz w:val="24"/>
                <w:szCs w:val="24"/>
                <w:bdr w:val="none" w:color="auto" w:sz="0" w:space="0"/>
              </w:rPr>
              <w:t>、</w:t>
            </w:r>
            <w:r>
              <w:rPr>
                <w:rFonts w:hint="default" w:ascii="Times New Roman" w:hAnsi="Times New Roman" w:eastAsia="楷体_GB2312" w:cs="Times New Roman"/>
                <w:kern w:val="2"/>
                <w:sz w:val="24"/>
                <w:szCs w:val="24"/>
                <w:bdr w:val="none" w:color="auto" w:sz="0" w:space="0"/>
              </w:rPr>
              <w:t>106</w:t>
            </w:r>
          </w:p>
        </w:tc>
      </w:tr>
      <w:tr w14:paraId="47B9507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30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0" w:type="dxa"/>
            </w:tcMar>
            <w:vAlign w:val="center"/>
          </w:tcPr>
          <w:p w14:paraId="331A2854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66511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法定代表人</w:t>
            </w:r>
          </w:p>
        </w:tc>
        <w:tc>
          <w:tcPr>
            <w:tcW w:w="59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75C20EF1">
            <w:pPr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32"/>
                <w:szCs w:val="32"/>
                <w:bdr w:val="none" w:color="auto" w:sz="0" w:space="0"/>
              </w:rPr>
              <w:t>张德平</w:t>
            </w:r>
          </w:p>
        </w:tc>
      </w:tr>
      <w:tr w14:paraId="2AC7627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30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0" w:type="dxa"/>
            </w:tcMar>
            <w:vAlign w:val="center"/>
          </w:tcPr>
          <w:p w14:paraId="1FC3EADA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226C3E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开办资金</w:t>
            </w:r>
          </w:p>
        </w:tc>
        <w:tc>
          <w:tcPr>
            <w:tcW w:w="59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64B49D32">
            <w:pPr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5"/>
                <w:rFonts w:hint="default" w:ascii="Times New Roman" w:hAnsi="Times New Roman" w:eastAsia="楷体_GB2312" w:cs="Times New Roman"/>
                <w:sz w:val="32"/>
                <w:szCs w:val="32"/>
                <w:bdr w:val="none" w:color="auto" w:sz="0" w:space="0"/>
              </w:rPr>
              <w:t>2.08</w:t>
            </w:r>
            <w:r>
              <w:rPr>
                <w:rStyle w:val="25"/>
                <w:rFonts w:hint="eastAsia" w:ascii="楷体_GB2312" w:hAnsi="Times New Roman" w:eastAsia="楷体_GB2312" w:cs="楷体_GB2312"/>
                <w:sz w:val="32"/>
                <w:szCs w:val="32"/>
                <w:bdr w:val="none" w:color="auto" w:sz="0" w:space="0"/>
              </w:rPr>
              <w:t>万元</w:t>
            </w:r>
          </w:p>
        </w:tc>
      </w:tr>
      <w:tr w14:paraId="16E4C3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30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0" w:type="dxa"/>
            </w:tcMar>
            <w:vAlign w:val="center"/>
          </w:tcPr>
          <w:p w14:paraId="31E5846C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EA1883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经费来源</w:t>
            </w:r>
          </w:p>
        </w:tc>
        <w:tc>
          <w:tcPr>
            <w:tcW w:w="59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4D756DCD">
            <w:pPr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32"/>
                <w:szCs w:val="32"/>
                <w:bdr w:val="none" w:color="auto" w:sz="0" w:space="0"/>
              </w:rPr>
              <w:t>财政补助</w:t>
            </w:r>
          </w:p>
        </w:tc>
      </w:tr>
      <w:tr w14:paraId="12E65BC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30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0" w:type="dxa"/>
            </w:tcMar>
            <w:vAlign w:val="center"/>
          </w:tcPr>
          <w:p w14:paraId="0D3E2010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1BAB88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举办单位</w:t>
            </w:r>
          </w:p>
        </w:tc>
        <w:tc>
          <w:tcPr>
            <w:tcW w:w="59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5F954C58">
            <w:pPr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28"/>
                <w:szCs w:val="28"/>
                <w:bdr w:val="none" w:color="auto" w:sz="0" w:space="0"/>
              </w:rPr>
              <w:t>第十四师党委社会工作部（信访局）</w:t>
            </w:r>
          </w:p>
        </w:tc>
      </w:tr>
      <w:tr w14:paraId="66B9E4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00" w:type="dxa"/>
            <w:vMerge w:val="restar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B9FAB0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资产</w:t>
            </w:r>
          </w:p>
          <w:p w14:paraId="694DA02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损益</w:t>
            </w:r>
          </w:p>
          <w:p w14:paraId="3C9B03A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情况</w:t>
            </w:r>
          </w:p>
        </w:tc>
        <w:tc>
          <w:tcPr>
            <w:tcW w:w="199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43C2F8A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净资产合计（所有者权益合计）</w:t>
            </w:r>
          </w:p>
        </w:tc>
      </w:tr>
      <w:tr w14:paraId="1743795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00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3C5764D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181BEC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年初数（万元）</w:t>
            </w:r>
          </w:p>
        </w:tc>
        <w:tc>
          <w:tcPr>
            <w:tcW w:w="41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2B3344E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年末数（万元）</w:t>
            </w:r>
          </w:p>
        </w:tc>
      </w:tr>
      <w:tr w14:paraId="7D44DC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00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7835953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1F2324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32"/>
                <w:szCs w:val="32"/>
                <w:bdr w:val="none" w:color="auto" w:sz="0" w:space="0"/>
              </w:rPr>
              <w:t>5.068776</w:t>
            </w:r>
          </w:p>
        </w:tc>
        <w:tc>
          <w:tcPr>
            <w:tcW w:w="199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02D0909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32"/>
                <w:szCs w:val="32"/>
                <w:bdr w:val="none" w:color="auto" w:sz="0" w:space="0"/>
              </w:rPr>
              <w:t>3.546286</w:t>
            </w:r>
          </w:p>
        </w:tc>
      </w:tr>
      <w:tr w14:paraId="7BF461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70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D0462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网上名称</w:t>
            </w:r>
          </w:p>
        </w:tc>
        <w:tc>
          <w:tcPr>
            <w:tcW w:w="3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302817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 w:val="0"/>
                <w:bCs w:val="0"/>
                <w:kern w:val="2"/>
                <w:sz w:val="32"/>
                <w:szCs w:val="32"/>
                <w:bdr w:val="none" w:color="auto" w:sz="0" w:space="0"/>
              </w:rPr>
              <w:t>无</w:t>
            </w:r>
          </w:p>
        </w:tc>
        <w:tc>
          <w:tcPr>
            <w:tcW w:w="2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23D117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从业人数</w:t>
            </w:r>
          </w:p>
        </w:tc>
        <w:tc>
          <w:tcPr>
            <w:tcW w:w="19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6D55384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Style w:val="23"/>
                <w:rFonts w:hint="default" w:ascii="Times New Roman" w:hAnsi="Times New Roman" w:eastAsia="楷体_GB2312" w:cs="Times New Roman"/>
                <w:b w:val="0"/>
                <w:bCs w:val="0"/>
                <w:kern w:val="2"/>
                <w:sz w:val="32"/>
                <w:szCs w:val="32"/>
                <w:bdr w:val="none" w:color="auto" w:sz="0" w:space="0"/>
              </w:rPr>
              <w:t>4</w:t>
            </w:r>
          </w:p>
        </w:tc>
      </w:tr>
      <w:tr w14:paraId="23C46F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5" w:hRule="atLeast"/>
          <w:jc w:val="center"/>
        </w:trPr>
        <w:tc>
          <w:tcPr>
            <w:tcW w:w="1700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shd w:val="clear"/>
            <w:vAlign w:val="center"/>
          </w:tcPr>
          <w:p w14:paraId="29F5D6F9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对《条</w:t>
            </w:r>
          </w:p>
          <w:p w14:paraId="4EB471F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例》和</w:t>
            </w:r>
          </w:p>
          <w:p w14:paraId="28EB977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实施细</w:t>
            </w:r>
          </w:p>
          <w:p w14:paraId="1EE1DCD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则有关</w:t>
            </w:r>
          </w:p>
          <w:p w14:paraId="57AFE0D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变更登</w:t>
            </w:r>
          </w:p>
          <w:p w14:paraId="07A35DD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记规定</w:t>
            </w:r>
          </w:p>
          <w:p w14:paraId="7560C6A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的执行</w:t>
            </w:r>
          </w:p>
          <w:p w14:paraId="30E8C63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情</w:t>
            </w:r>
            <w:r>
              <w:rPr>
                <w:rStyle w:val="23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  <w:bdr w:val="none" w:color="auto" w:sz="0" w:space="0"/>
              </w:rPr>
              <w:t xml:space="preserve"> </w:t>
            </w: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况</w:t>
            </w:r>
          </w:p>
        </w:tc>
        <w:tc>
          <w:tcPr>
            <w:tcW w:w="7920" w:type="dxa"/>
            <w:gridSpan w:val="4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  <w:shd w:val="clear"/>
            <w:vAlign w:val="center"/>
          </w:tcPr>
          <w:p w14:paraId="085A22E0">
            <w:pPr>
              <w:ind w:left="0" w:firstLine="640" w:firstLineChars="200"/>
              <w:jc w:val="lef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32"/>
                <w:szCs w:val="32"/>
                <w:bdr w:val="none" w:color="auto" w:sz="0" w:space="0"/>
              </w:rPr>
              <w:t>严格按照《条例》和实施细则等有关规定执行，</w:t>
            </w:r>
            <w:r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  <w:bdr w:val="none" w:color="auto" w:sz="0" w:space="0"/>
              </w:rPr>
              <w:t>2021</w:t>
            </w:r>
            <w:r>
              <w:rPr>
                <w:rFonts w:hint="eastAsia" w:ascii="楷体_GB2312" w:hAnsi="Times New Roman" w:eastAsia="楷体_GB2312" w:cs="楷体_GB2312"/>
                <w:kern w:val="2"/>
                <w:sz w:val="32"/>
                <w:szCs w:val="32"/>
                <w:bdr w:val="none" w:color="auto" w:sz="0" w:space="0"/>
              </w:rPr>
              <w:t>年设立登记。</w:t>
            </w:r>
          </w:p>
        </w:tc>
      </w:tr>
      <w:tr w14:paraId="32F1B5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0" w:hRule="atLeast"/>
          <w:jc w:val="center"/>
        </w:trPr>
        <w:tc>
          <w:tcPr>
            <w:tcW w:w="170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shd w:val="clear"/>
            <w:vAlign w:val="center"/>
          </w:tcPr>
          <w:p w14:paraId="091973E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开</w:t>
            </w:r>
          </w:p>
          <w:p w14:paraId="4BB5B1B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展</w:t>
            </w:r>
          </w:p>
          <w:p w14:paraId="6BC22E8C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业</w:t>
            </w:r>
          </w:p>
          <w:p w14:paraId="27ACE03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务</w:t>
            </w:r>
          </w:p>
          <w:p w14:paraId="6CEEB2B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活</w:t>
            </w:r>
          </w:p>
          <w:p w14:paraId="4D86AE4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动</w:t>
            </w:r>
          </w:p>
          <w:p w14:paraId="7B2F328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情</w:t>
            </w:r>
          </w:p>
          <w:p w14:paraId="334EF4DC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况</w:t>
            </w:r>
          </w:p>
        </w:tc>
        <w:tc>
          <w:tcPr>
            <w:tcW w:w="7920" w:type="dxa"/>
            <w:gridSpan w:val="4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shd w:val="clear"/>
            <w:vAlign w:val="top"/>
          </w:tcPr>
          <w:p w14:paraId="7D19B881">
            <w:pPr>
              <w:keepNext w:val="0"/>
              <w:keepLines w:val="0"/>
              <w:widowControl w:val="0"/>
              <w:suppressLineNumbers w:val="0"/>
              <w:overflowPunct w:val="0"/>
              <w:autoSpaceDE w:val="0"/>
              <w:autoSpaceDN/>
              <w:spacing w:before="157" w:beforeLines="50" w:beforeAutospacing="0"/>
              <w:ind w:left="0" w:firstLine="422" w:firstLineChars="200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1"/>
                <w:szCs w:val="21"/>
                <w:bdr w:val="none" w:color="auto" w:sz="0" w:space="0"/>
              </w:rPr>
              <w:t>（一）深入推进预防法治化，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扎实开展源头治理，坚持源头预防为先，围绕信访问题源头治理三年攻坚行动及师市－化解矛盾纠纷，维护社会稳定”专项工作，聚焦重点行业，重点领域，重要时间节点，开展涉稳涉访矛盾纠纷大排查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4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次，累计摸排矛盾纠纷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260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余件，分级建立清单台账，明确化解责任，措施，时限，大量矛盾纠纷解决在职工群众信访前。师团两级领导干部深入践行“四下基层”，带头接待来访职工群众，师市党政领导带头接访下访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6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次，各团场及师市各部门（单位）副处级以上领导参与接访下访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261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次，推动化解各类矛盾纠纷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167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件，化解率达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8836%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，师市党委主要负责同志主动接访“麻烦事”“棘手案”，面对面倾听群众诉求，分析问题症结，研究解决群众反映问题，切实从源头上预防和减少信访问题，基层吸附化解能力得到明显提升。</w:t>
            </w:r>
          </w:p>
          <w:p w14:paraId="1F7CC6A9">
            <w:pPr>
              <w:keepNext w:val="0"/>
              <w:keepLines w:val="0"/>
              <w:widowControl w:val="0"/>
              <w:suppressLineNumbers w:val="0"/>
              <w:overflowPunct w:val="0"/>
              <w:autoSpaceDE w:val="0"/>
              <w:autoSpaceDN/>
              <w:ind w:left="0" w:firstLine="422" w:firstLineChars="200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1"/>
                <w:szCs w:val="21"/>
                <w:bdr w:val="none" w:color="auto" w:sz="0" w:space="0"/>
              </w:rPr>
              <w:t>（二）深入推进受理法治化，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及时精准转送交办，依法对信访事项进行详细登记，准确记录信访人信息，诉求内容，问题属地等关键要素，对信访事项的领域分类，管辖层级，是否属于受理范围等进行精准甄别，切实做到“三个分清”。严格落实信访事项登记，转送，交办等各项制度规范，实行分级，分类，分责转办交办，实现信访事项快速精准分流，信访事项及时受理率达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100%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。严格按照《信访工作条例》中“三个不予受理”和“两个不再受理”的具体规定受理信访事项，精准剥离非信访渠道事项，引导职工群众通过法定途径维权。深化“访调对接”，对申诉求决类信访事项，先行引导当事人进行调解，同时会同人民调解员，法检两院工作人员“三调联动”，本年度师市信访事项达成调解协议率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75%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。</w:t>
            </w:r>
          </w:p>
          <w:p w14:paraId="318A3DA4">
            <w:pPr>
              <w:keepNext w:val="0"/>
              <w:keepLines w:val="0"/>
              <w:widowControl w:val="0"/>
              <w:suppressLineNumbers w:val="0"/>
              <w:overflowPunct w:val="0"/>
              <w:autoSpaceDE w:val="0"/>
              <w:autoSpaceDN/>
              <w:ind w:left="0" w:firstLine="422" w:firstLineChars="200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1"/>
                <w:szCs w:val="21"/>
                <w:bdr w:val="none" w:color="auto" w:sz="0" w:space="0"/>
              </w:rPr>
              <w:t>（三）深入推进办理法治化，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依法依规及时办理。按照“属地管理，分级负责，谁主管，谁负责”的工作原则，推动职能部门对符合依法分类处理要求的信访事项，及时导入相应程序办理，力求应分尽分，能分尽分，加大信访业务培训力度，组织信访工作人员参加国家，兵团及师市信访局组织的各类培训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7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场次，并邀请北京市信访办相关专家就信访工作法治化开展专题培训，师市信访工作人员业务水平大幅提升，常态化开展信访业务规范化评查信访事项办结前置审核，推动兵团智慧信访信息系统功能深度运用，对存在办理方式不恰当，以过程性意见代替结果性意见，不执行信访处理意见等“应办理而不办理”情形的信访事项及时督办。</w:t>
            </w:r>
          </w:p>
          <w:p w14:paraId="4DFB8DB1">
            <w:pPr>
              <w:keepNext w:val="0"/>
              <w:keepLines w:val="0"/>
              <w:widowControl w:val="0"/>
              <w:suppressLineNumbers w:val="0"/>
              <w:overflowPunct w:val="0"/>
              <w:autoSpaceDE w:val="0"/>
              <w:autoSpaceDN/>
              <w:ind w:left="0" w:firstLine="422" w:firstLineChars="200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1"/>
                <w:szCs w:val="21"/>
                <w:bdr w:val="none" w:color="auto" w:sz="0" w:space="0"/>
              </w:rPr>
              <w:t>（四）深入推进监督追责法治化，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对失职严肃追责问责。印发《信访工作通报》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16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期，对责任部门化解信访事项较慢，未严格落实信访事项办理要求等定期通报。充分履行“三项建议”职责，对因拒不执行信访处理意见，以过程性意见代替结果性意见等办理信访事项敷衍，拖延等情形，导致信访人反复多次投诉发生的，下发改进工作建议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5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份，下发督办函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5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份。积极配合纪检监察机关追责问责工作，对本年度全渠道收到的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5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条涉干部作风，惠农补贴等线索及时进行移交。</w:t>
            </w:r>
          </w:p>
          <w:p w14:paraId="6E82C04C">
            <w:pPr>
              <w:keepNext w:val="0"/>
              <w:keepLines w:val="0"/>
              <w:widowControl w:val="0"/>
              <w:suppressLineNumbers w:val="0"/>
              <w:overflowPunct w:val="0"/>
              <w:autoSpaceDE w:val="0"/>
              <w:autoSpaceDN/>
              <w:ind w:left="0" w:firstLine="422" w:firstLineChars="200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1"/>
                <w:szCs w:val="21"/>
                <w:bdr w:val="none" w:color="auto" w:sz="0" w:space="0"/>
              </w:rPr>
              <w:t>（五）践行为民服务初心，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推动群众急难愁盼实质化解。师市党委书记，政委蒋欣，师市党委副书记，师长买买提艾力·吐尔洪等师市领导就涉欠薪问题较多的建设项目多次开展调度，并召开信联会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2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次，要求全力推动欠薪问题化解，师市信联办就重点项目欠薪问题协调责任单位与施工方召开协调会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20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余次，推动皮山农场书香苑建设项目，昆玉市美亿家建设项目等建设项目一批欠薪问题得到化解。根据治理欠薪冬季行动工作安排，师市信访局依托兵团智慧信访信息系统及人民网留言，石榴云留言板等网上平台，结合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2022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年以来未实质化解信访积案台账，梳理出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79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件涉欠薪信访事项，第一时间向行业主管部门，属地政府推送，确保群众诉求时刻始终有人放在心上，目前，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79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件涉欠薪积案已有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</w:rPr>
              <w:t>14</w:t>
            </w:r>
            <w:r>
              <w:rPr>
                <w:rFonts w:hint="eastAsia" w:ascii="仿宋_GB2312" w:hAnsi="Times New Roman" w:eastAsia="仿宋_GB2312" w:cs="仿宋_GB2312"/>
                <w:kern w:val="2"/>
                <w:sz w:val="21"/>
                <w:szCs w:val="21"/>
                <w:bdr w:val="none" w:color="auto" w:sz="0" w:space="0"/>
              </w:rPr>
              <w:t>件得到实质化解。</w:t>
            </w:r>
          </w:p>
        </w:tc>
      </w:tr>
      <w:tr w14:paraId="15A695F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3" w:hRule="atLeast"/>
          <w:jc w:val="center"/>
        </w:trPr>
        <w:tc>
          <w:tcPr>
            <w:tcW w:w="1700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C7BE3C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相关资质</w:t>
            </w:r>
          </w:p>
          <w:p w14:paraId="4F731259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认可或执</w:t>
            </w:r>
          </w:p>
          <w:p w14:paraId="6992109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业许可证</w:t>
            </w:r>
          </w:p>
          <w:p w14:paraId="6321820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明文件及</w:t>
            </w:r>
          </w:p>
          <w:p w14:paraId="17F32EC8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有效期</w:t>
            </w:r>
          </w:p>
        </w:tc>
        <w:tc>
          <w:tcPr>
            <w:tcW w:w="7920" w:type="dxa"/>
            <w:gridSpan w:val="4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295780E2">
            <w:pPr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Style w:val="25"/>
                <w:rFonts w:hint="eastAsia" w:ascii="楷体_GB2312" w:hAnsi="Times New Roman" w:eastAsia="楷体_GB2312" w:cs="楷体_GB2312"/>
                <w:b w:val="0"/>
                <w:bCs w:val="0"/>
                <w:kern w:val="2"/>
                <w:sz w:val="32"/>
                <w:szCs w:val="32"/>
                <w:bdr w:val="none" w:color="auto" w:sz="0" w:space="0"/>
              </w:rPr>
              <w:t>无</w:t>
            </w:r>
          </w:p>
        </w:tc>
      </w:tr>
      <w:tr w14:paraId="474CEA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9" w:hRule="atLeast"/>
          <w:jc w:val="center"/>
        </w:trPr>
        <w:tc>
          <w:tcPr>
            <w:tcW w:w="170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A9A538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绩</w:t>
            </w:r>
            <w:r>
              <w:rPr>
                <w:rStyle w:val="23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  <w:bdr w:val="none" w:color="auto" w:sz="0" w:space="0"/>
              </w:rPr>
              <w:t xml:space="preserve"> </w:t>
            </w: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效</w:t>
            </w:r>
            <w:r>
              <w:rPr>
                <w:rStyle w:val="23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  <w:bdr w:val="none" w:color="auto" w:sz="0" w:space="0"/>
              </w:rPr>
              <w:t xml:space="preserve"> </w:t>
            </w: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和</w:t>
            </w:r>
          </w:p>
          <w:p w14:paraId="5742E44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受奖惩及</w:t>
            </w:r>
          </w:p>
          <w:p w14:paraId="0708C33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诉讼投诉</w:t>
            </w:r>
          </w:p>
          <w:p w14:paraId="2E10FBE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情</w:t>
            </w:r>
            <w:r>
              <w:rPr>
                <w:rStyle w:val="23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  <w:bdr w:val="none" w:color="auto" w:sz="0" w:space="0"/>
              </w:rPr>
              <w:t xml:space="preserve"> </w:t>
            </w: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况</w:t>
            </w:r>
          </w:p>
        </w:tc>
        <w:tc>
          <w:tcPr>
            <w:tcW w:w="7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220CCAAC">
            <w:pPr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Style w:val="25"/>
                <w:rFonts w:hint="default" w:ascii="Times New Roman" w:hAnsi="Times New Roman" w:eastAsia="楷体_GB2312" w:cs="Times New Roman"/>
                <w:b w:val="0"/>
                <w:bCs w:val="0"/>
                <w:kern w:val="2"/>
                <w:sz w:val="32"/>
                <w:szCs w:val="32"/>
                <w:bdr w:val="none" w:color="auto" w:sz="0" w:space="0"/>
              </w:rPr>
              <w:t>2025</w:t>
            </w:r>
            <w:r>
              <w:rPr>
                <w:rStyle w:val="25"/>
                <w:rFonts w:hint="eastAsia" w:ascii="楷体_GB2312" w:hAnsi="Times New Roman" w:eastAsia="楷体_GB2312" w:cs="楷体_GB2312"/>
                <w:b w:val="0"/>
                <w:bCs w:val="0"/>
                <w:kern w:val="2"/>
                <w:sz w:val="32"/>
                <w:szCs w:val="32"/>
                <w:bdr w:val="none" w:color="auto" w:sz="0" w:space="0"/>
              </w:rPr>
              <w:t>年无诉讼投诉情况。</w:t>
            </w:r>
          </w:p>
        </w:tc>
      </w:tr>
      <w:tr w14:paraId="0C32C52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3" w:hRule="atLeast"/>
          <w:jc w:val="center"/>
        </w:trPr>
        <w:tc>
          <w:tcPr>
            <w:tcW w:w="170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FB20A3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接受捐赠</w:t>
            </w:r>
          </w:p>
          <w:p w14:paraId="3B360D03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资助及其</w:t>
            </w:r>
          </w:p>
          <w:p w14:paraId="5EE821E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使用情况</w:t>
            </w:r>
          </w:p>
        </w:tc>
        <w:tc>
          <w:tcPr>
            <w:tcW w:w="7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center"/>
          </w:tcPr>
          <w:p w14:paraId="2EFB9D09">
            <w:pPr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Style w:val="25"/>
                <w:rFonts w:hint="eastAsia" w:ascii="楷体_GB2312" w:hAnsi="Times New Roman" w:eastAsia="楷体_GB2312" w:cs="楷体_GB2312"/>
                <w:b w:val="0"/>
                <w:bCs w:val="0"/>
                <w:kern w:val="2"/>
                <w:sz w:val="32"/>
                <w:szCs w:val="32"/>
                <w:bdr w:val="none" w:color="auto" w:sz="0" w:space="0"/>
              </w:rPr>
              <w:t>无</w:t>
            </w:r>
          </w:p>
        </w:tc>
      </w:tr>
      <w:tr w14:paraId="4D216D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1700" w:type="dxa"/>
            <w:vMerge w:val="restar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A73A6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事业单位</w:t>
            </w:r>
          </w:p>
          <w:p w14:paraId="4693F7B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委托意见</w:t>
            </w:r>
          </w:p>
        </w:tc>
        <w:tc>
          <w:tcPr>
            <w:tcW w:w="7920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12" w:space="0"/>
            </w:tcBorders>
            <w:shd w:val="clear"/>
            <w:vAlign w:val="top"/>
          </w:tcPr>
          <w:p w14:paraId="133A4C92">
            <w:pPr>
              <w:ind w:left="0" w:firstLine="643" w:firstLineChars="200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兹委托登记管理机关公示我单位年度报告书。</w:t>
            </w:r>
          </w:p>
        </w:tc>
      </w:tr>
      <w:tr w14:paraId="080E1C9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700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18EDCBD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bottom"/>
          </w:tcPr>
          <w:p w14:paraId="07518D7B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6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  <w:bdr w:val="none" w:color="auto" w:sz="0" w:space="0"/>
              </w:rPr>
              <w:t>法定代表人：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/>
            <w:vAlign w:val="bottom"/>
          </w:tcPr>
          <w:p w14:paraId="53F1DCE2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color="auto" w:sz="12" w:space="0"/>
            </w:tcBorders>
            <w:shd w:val="clear"/>
            <w:vAlign w:val="bottom"/>
          </w:tcPr>
          <w:p w14:paraId="39B23051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公章：</w:t>
            </w:r>
          </w:p>
        </w:tc>
      </w:tr>
      <w:tr w14:paraId="47DEA51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700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7664DE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/>
            <w:vAlign w:val="bottom"/>
          </w:tcPr>
          <w:p w14:paraId="65C74EC4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/>
            <w:vAlign w:val="bottom"/>
          </w:tcPr>
          <w:p w14:paraId="4D6C0409">
            <w:pPr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bdr w:val="none" w:color="auto" w:sz="0" w:space="0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bottom"/>
          </w:tcPr>
          <w:p w14:paraId="65925C05">
            <w:pPr>
              <w:jc w:val="right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  <w:bdr w:val="none" w:color="auto" w:sz="0" w:space="0"/>
              </w:rPr>
              <w:t xml:space="preserve">   2026</w:t>
            </w:r>
            <w:r>
              <w:rPr>
                <w:rStyle w:val="23"/>
                <w:rFonts w:hint="eastAsia" w:ascii="楷体_GB2312" w:hAnsi="Times New Roman" w:eastAsia="楷体_GB2312" w:cs="楷体_GB2312"/>
                <w:b w:val="0"/>
                <w:bCs w:val="0"/>
                <w:sz w:val="32"/>
                <w:szCs w:val="32"/>
                <w:bdr w:val="none" w:color="auto" w:sz="0" w:space="0"/>
              </w:rPr>
              <w:t>年</w:t>
            </w:r>
            <w:r>
              <w:rPr>
                <w:rStyle w:val="23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  <w:bdr w:val="none" w:color="auto" w:sz="0" w:space="0"/>
              </w:rPr>
              <w:t xml:space="preserve"> 2 </w:t>
            </w:r>
            <w:r>
              <w:rPr>
                <w:rStyle w:val="23"/>
                <w:rFonts w:hint="eastAsia" w:ascii="楷体_GB2312" w:hAnsi="Times New Roman" w:eastAsia="楷体_GB2312" w:cs="楷体_GB2312"/>
                <w:b w:val="0"/>
                <w:bCs w:val="0"/>
                <w:sz w:val="32"/>
                <w:szCs w:val="32"/>
                <w:bdr w:val="none" w:color="auto" w:sz="0" w:space="0"/>
              </w:rPr>
              <w:t>月</w:t>
            </w:r>
            <w:r>
              <w:rPr>
                <w:rStyle w:val="23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  <w:bdr w:val="none" w:color="auto" w:sz="0" w:space="0"/>
              </w:rPr>
              <w:t xml:space="preserve"> 25 </w:t>
            </w:r>
            <w:r>
              <w:rPr>
                <w:rStyle w:val="23"/>
                <w:rFonts w:hint="eastAsia" w:ascii="楷体_GB2312" w:hAnsi="Times New Roman" w:eastAsia="楷体_GB2312" w:cs="楷体_GB2312"/>
                <w:b w:val="0"/>
                <w:bCs w:val="0"/>
                <w:sz w:val="32"/>
                <w:szCs w:val="32"/>
                <w:bdr w:val="none" w:color="auto" w:sz="0" w:space="0"/>
              </w:rPr>
              <w:t>日</w:t>
            </w:r>
            <w:r>
              <w:rPr>
                <w:rStyle w:val="23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  <w:bdr w:val="none" w:color="auto" w:sz="0" w:space="0"/>
              </w:rPr>
              <w:t xml:space="preserve">  </w:t>
            </w:r>
          </w:p>
        </w:tc>
      </w:tr>
      <w:tr w14:paraId="23C23EB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0" w:hRule="atLeast"/>
          <w:jc w:val="center"/>
        </w:trPr>
        <w:tc>
          <w:tcPr>
            <w:tcW w:w="1700" w:type="dxa"/>
            <w:vMerge w:val="restar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B2359D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6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  <w:bdr w:val="none" w:color="auto" w:sz="0" w:space="0"/>
              </w:rPr>
              <w:t>举办单位</w:t>
            </w:r>
          </w:p>
          <w:p w14:paraId="13BA173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6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  <w:bdr w:val="none" w:color="auto" w:sz="0" w:space="0"/>
              </w:rPr>
              <w:t>意见（含</w:t>
            </w:r>
          </w:p>
          <w:p w14:paraId="4FB5AAC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6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  <w:bdr w:val="none" w:color="auto" w:sz="0" w:space="0"/>
              </w:rPr>
              <w:t>保密审查</w:t>
            </w:r>
          </w:p>
          <w:p w14:paraId="266E5D9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6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  <w:bdr w:val="none" w:color="auto" w:sz="0" w:space="0"/>
              </w:rPr>
              <w:t>意</w:t>
            </w:r>
            <w:r>
              <w:rPr>
                <w:rStyle w:val="26"/>
                <w:rFonts w:hint="default" w:ascii="Times New Roman" w:hAnsi="Times New Roman" w:eastAsia="楷体_GB2312" w:cs="Times New Roman"/>
                <w:b/>
                <w:bCs/>
                <w:sz w:val="28"/>
                <w:szCs w:val="28"/>
                <w:bdr w:val="none" w:color="auto" w:sz="0" w:space="0"/>
              </w:rPr>
              <w:t xml:space="preserve"> </w:t>
            </w:r>
            <w:r>
              <w:rPr>
                <w:rStyle w:val="26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  <w:bdr w:val="none" w:color="auto" w:sz="0" w:space="0"/>
              </w:rPr>
              <w:t>见）</w:t>
            </w:r>
          </w:p>
        </w:tc>
        <w:tc>
          <w:tcPr>
            <w:tcW w:w="7920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12" w:space="0"/>
            </w:tcBorders>
            <w:shd w:val="clear"/>
            <w:vAlign w:val="top"/>
          </w:tcPr>
          <w:p w14:paraId="2B9F1DAF">
            <w:pP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</w:p>
        </w:tc>
      </w:tr>
      <w:tr w14:paraId="4DA827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700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250BFC7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bottom"/>
          </w:tcPr>
          <w:p w14:paraId="505655D3">
            <w:pP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14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/>
            <w:vAlign w:val="bottom"/>
          </w:tcPr>
          <w:p w14:paraId="540E1398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color="auto" w:sz="12" w:space="0"/>
            </w:tcBorders>
            <w:shd w:val="clear"/>
            <w:vAlign w:val="bottom"/>
          </w:tcPr>
          <w:p w14:paraId="3AFA8458">
            <w:pP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  <w:bdr w:val="none" w:color="auto" w:sz="0" w:space="0"/>
              </w:rPr>
              <w:t>公章：</w:t>
            </w:r>
          </w:p>
        </w:tc>
      </w:tr>
      <w:tr w14:paraId="0A6144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700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89E85E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/>
            <w:vAlign w:val="bottom"/>
          </w:tcPr>
          <w:p w14:paraId="2C8A9C9D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/>
            <w:vAlign w:val="bottom"/>
          </w:tcPr>
          <w:p w14:paraId="3562B42B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shd w:val="clear"/>
            <w:vAlign w:val="bottom"/>
          </w:tcPr>
          <w:p w14:paraId="272CF71F">
            <w:pPr>
              <w:jc w:val="right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3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  <w:bdr w:val="none" w:color="auto" w:sz="0" w:space="0"/>
              </w:rPr>
              <w:t xml:space="preserve">    </w:t>
            </w:r>
            <w:r>
              <w:rPr>
                <w:rStyle w:val="23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  <w:bdr w:val="none" w:color="auto" w:sz="0" w:space="0"/>
              </w:rPr>
              <w:t xml:space="preserve"> 2026</w:t>
            </w:r>
            <w:r>
              <w:rPr>
                <w:rStyle w:val="23"/>
                <w:rFonts w:hint="eastAsia" w:ascii="楷体_GB2312" w:hAnsi="Times New Roman" w:eastAsia="楷体_GB2312" w:cs="楷体_GB2312"/>
                <w:b w:val="0"/>
                <w:bCs w:val="0"/>
                <w:sz w:val="32"/>
                <w:szCs w:val="32"/>
                <w:bdr w:val="none" w:color="auto" w:sz="0" w:space="0"/>
              </w:rPr>
              <w:t>年</w:t>
            </w:r>
            <w:r>
              <w:rPr>
                <w:rStyle w:val="23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  <w:bdr w:val="none" w:color="auto" w:sz="0" w:space="0"/>
              </w:rPr>
              <w:t xml:space="preserve"> 2 </w:t>
            </w:r>
            <w:r>
              <w:rPr>
                <w:rStyle w:val="23"/>
                <w:rFonts w:hint="eastAsia" w:ascii="楷体_GB2312" w:hAnsi="Times New Roman" w:eastAsia="楷体_GB2312" w:cs="楷体_GB2312"/>
                <w:b w:val="0"/>
                <w:bCs w:val="0"/>
                <w:sz w:val="32"/>
                <w:szCs w:val="32"/>
                <w:bdr w:val="none" w:color="auto" w:sz="0" w:space="0"/>
              </w:rPr>
              <w:t>月</w:t>
            </w:r>
            <w:r>
              <w:rPr>
                <w:rStyle w:val="23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  <w:bdr w:val="none" w:color="auto" w:sz="0" w:space="0"/>
              </w:rPr>
              <w:t xml:space="preserve"> 25 </w:t>
            </w:r>
            <w:r>
              <w:rPr>
                <w:rStyle w:val="23"/>
                <w:rFonts w:hint="eastAsia" w:ascii="楷体_GB2312" w:hAnsi="Times New Roman" w:eastAsia="楷体_GB2312" w:cs="楷体_GB2312"/>
                <w:b w:val="0"/>
                <w:bCs w:val="0"/>
                <w:sz w:val="32"/>
                <w:szCs w:val="32"/>
                <w:bdr w:val="none" w:color="auto" w:sz="0" w:space="0"/>
              </w:rPr>
              <w:t>日</w:t>
            </w:r>
            <w:r>
              <w:rPr>
                <w:rStyle w:val="23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  <w:bdr w:val="none" w:color="auto" w:sz="0" w:space="0"/>
              </w:rPr>
              <w:t xml:space="preserve">   </w:t>
            </w:r>
          </w:p>
        </w:tc>
      </w:tr>
      <w:tr w14:paraId="22462E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0" w:type="auto"/>
            <w:gridSpan w:val="5"/>
            <w:tcBorders>
              <w:top w:val="single" w:color="auto" w:sz="12" w:space="0"/>
              <w:left w:val="nil"/>
              <w:bottom w:val="nil"/>
              <w:right w:val="nil"/>
            </w:tcBorders>
            <w:shd w:val="clear"/>
            <w:vAlign w:val="center"/>
          </w:tcPr>
          <w:p w14:paraId="48159689">
            <w:pPr>
              <w:jc w:val="left"/>
              <w:rPr>
                <w:rFonts w:hint="default" w:ascii="Times New Roman" w:hAnsi="Times New Roman" w:eastAsia="楷体_GB2312" w:cs="Times New Roman"/>
                <w:kern w:val="2"/>
                <w:sz w:val="21"/>
                <w:szCs w:val="21"/>
                <w:bdr w:val="none" w:color="auto" w:sz="0" w:space="0"/>
              </w:rPr>
            </w:pPr>
            <w:r>
              <w:rPr>
                <w:rStyle w:val="26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  <w:bdr w:val="none" w:color="auto" w:sz="0" w:space="0"/>
              </w:rPr>
              <w:t>填表人：</w:t>
            </w:r>
            <w:r>
              <w:rPr>
                <w:rStyle w:val="26"/>
                <w:rFonts w:hint="eastAsia" w:ascii="楷体_GB2312" w:hAnsi="Times New Roman" w:eastAsia="楷体_GB2312" w:cs="楷体_GB2312"/>
                <w:b w:val="0"/>
                <w:bCs w:val="0"/>
                <w:sz w:val="28"/>
                <w:szCs w:val="28"/>
                <w:bdr w:val="none" w:color="auto" w:sz="0" w:space="0"/>
              </w:rPr>
              <w:t>徐天昊</w:t>
            </w:r>
            <w:r>
              <w:rPr>
                <w:rStyle w:val="26"/>
                <w:rFonts w:hint="default" w:ascii="Times New Roman" w:hAnsi="Times New Roman" w:eastAsia="楷体_GB2312" w:cs="Times New Roman"/>
                <w:b/>
                <w:bCs/>
                <w:sz w:val="28"/>
                <w:szCs w:val="28"/>
                <w:bdr w:val="none" w:color="auto" w:sz="0" w:space="0"/>
              </w:rPr>
              <w:t>        </w:t>
            </w:r>
            <w:r>
              <w:rPr>
                <w:rStyle w:val="26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  <w:bdr w:val="none" w:color="auto" w:sz="0" w:space="0"/>
              </w:rPr>
              <w:t>联系电话：</w:t>
            </w:r>
            <w:r>
              <w:rPr>
                <w:rStyle w:val="26"/>
                <w:rFonts w:hint="eastAsia" w:ascii="楷体_GB2312" w:eastAsia="楷体_GB2312" w:cs="楷体_GB2312"/>
                <w:b/>
                <w:bCs/>
                <w:sz w:val="28"/>
                <w:szCs w:val="28"/>
                <w:bdr w:val="none" w:color="auto" w:sz="0" w:space="0"/>
                <w:lang w:val="en-US" w:eastAsia="zh-CN"/>
              </w:rPr>
              <w:t xml:space="preserve"> </w:t>
            </w:r>
            <w:r>
              <w:rPr>
                <w:rStyle w:val="26"/>
                <w:rFonts w:hint="default" w:ascii="Times New Roman" w:hAnsi="Times New Roman" w:eastAsia="楷体_GB2312" w:cs="Times New Roman"/>
                <w:b/>
                <w:bCs/>
                <w:sz w:val="28"/>
                <w:szCs w:val="28"/>
                <w:bdr w:val="none" w:color="auto" w:sz="0" w:space="0"/>
              </w:rPr>
              <w:t>       </w:t>
            </w:r>
            <w:r>
              <w:rPr>
                <w:rStyle w:val="26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  <w:bdr w:val="none" w:color="auto" w:sz="0" w:space="0"/>
              </w:rPr>
              <w:t>报送日期：</w:t>
            </w:r>
            <w:r>
              <w:rPr>
                <w:rStyle w:val="26"/>
                <w:rFonts w:hint="default" w:ascii="Times New Roman" w:hAnsi="Times New Roman" w:eastAsia="楷体_GB2312" w:cs="Times New Roman"/>
                <w:b w:val="0"/>
                <w:bCs w:val="0"/>
                <w:sz w:val="28"/>
                <w:szCs w:val="28"/>
                <w:bdr w:val="none" w:color="auto" w:sz="0" w:space="0"/>
              </w:rPr>
              <w:t>2026</w:t>
            </w:r>
            <w:r>
              <w:rPr>
                <w:rStyle w:val="26"/>
                <w:rFonts w:hint="eastAsia" w:ascii="楷体_GB2312" w:hAnsi="Times New Roman" w:eastAsia="楷体_GB2312" w:cs="楷体_GB2312"/>
                <w:b w:val="0"/>
                <w:bCs w:val="0"/>
                <w:sz w:val="28"/>
                <w:szCs w:val="28"/>
                <w:bdr w:val="none" w:color="auto" w:sz="0" w:space="0"/>
              </w:rPr>
              <w:t>年</w:t>
            </w:r>
            <w:r>
              <w:rPr>
                <w:rStyle w:val="26"/>
                <w:rFonts w:hint="default" w:ascii="Times New Roman" w:hAnsi="Times New Roman" w:eastAsia="楷体_GB2312" w:cs="Times New Roman"/>
                <w:b w:val="0"/>
                <w:bCs w:val="0"/>
                <w:sz w:val="28"/>
                <w:szCs w:val="28"/>
                <w:bdr w:val="none" w:color="auto" w:sz="0" w:space="0"/>
              </w:rPr>
              <w:t>2</w:t>
            </w:r>
            <w:r>
              <w:rPr>
                <w:rStyle w:val="26"/>
                <w:rFonts w:hint="eastAsia" w:ascii="楷体_GB2312" w:hAnsi="Times New Roman" w:eastAsia="楷体_GB2312" w:cs="楷体_GB2312"/>
                <w:b w:val="0"/>
                <w:bCs w:val="0"/>
                <w:sz w:val="28"/>
                <w:szCs w:val="28"/>
                <w:bdr w:val="none" w:color="auto" w:sz="0" w:space="0"/>
              </w:rPr>
              <w:t>月</w:t>
            </w:r>
            <w:r>
              <w:rPr>
                <w:rStyle w:val="26"/>
                <w:rFonts w:hint="default" w:ascii="Times New Roman" w:hAnsi="Times New Roman" w:eastAsia="楷体_GB2312" w:cs="Times New Roman"/>
                <w:b w:val="0"/>
                <w:bCs w:val="0"/>
                <w:sz w:val="28"/>
                <w:szCs w:val="28"/>
                <w:bdr w:val="none" w:color="auto" w:sz="0" w:space="0"/>
              </w:rPr>
              <w:t>25</w:t>
            </w:r>
            <w:r>
              <w:rPr>
                <w:rStyle w:val="26"/>
                <w:rFonts w:hint="eastAsia" w:ascii="楷体_GB2312" w:hAnsi="Times New Roman" w:eastAsia="楷体_GB2312" w:cs="楷体_GB2312"/>
                <w:b w:val="0"/>
                <w:bCs w:val="0"/>
                <w:sz w:val="28"/>
                <w:szCs w:val="28"/>
                <w:bdr w:val="none" w:color="auto" w:sz="0" w:space="0"/>
              </w:rPr>
              <w:t>日</w:t>
            </w:r>
          </w:p>
        </w:tc>
      </w:tr>
    </w:tbl>
    <w:p w14:paraId="4DA1BB08">
      <w:pPr>
        <w:jc w:val="left"/>
        <w:rPr>
          <w:rFonts w:hint="eastAsia" w:ascii="楷体_GB2312" w:hAnsi="Times New Roman" w:eastAsia="楷体_GB2312" w:cs="楷体_GB2312"/>
          <w:b/>
          <w:bCs/>
          <w:kern w:val="2"/>
          <w:sz w:val="18"/>
          <w:szCs w:val="18"/>
        </w:rPr>
      </w:pPr>
      <w:r>
        <w:rPr>
          <w:rFonts w:hint="default" w:ascii="Times New Roman" w:hAnsi="Times New Roman" w:eastAsia="楷体_GB2312" w:cs="Times New Roman"/>
          <w:b/>
          <w:bCs/>
          <w:kern w:val="2"/>
          <w:sz w:val="18"/>
          <w:szCs w:val="18"/>
        </w:rPr>
        <w:t xml:space="preserve"> </w:t>
      </w:r>
    </w:p>
    <w:sectPr>
      <w:pgSz w:w="11906" w:h="16838"/>
      <w:pgMar w:top="1440" w:right="1135" w:bottom="1440" w:left="1135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characterSpacingControl w:val="compressPunctuation"/>
  <w:footnotePr>
    <w:footnote w:id="0"/>
    <w:footnote w:id="1"/>
  </w:footnotePr>
  <w:compat>
    <w:balanceSingleByteDoubleByteWidth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2422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iPriority="99" w:name="Light Shading"/>
    <w:lsdException w:uiPriority="99" w:name="Light List"/>
    <w:lsdException w:uiPriority="99" w:name="Light Grid"/>
    <w:lsdException w:uiPriority="99" w:name="Medium Shading 1"/>
    <w:lsdException w:uiPriority="99" w:name="Medium Shading 2"/>
    <w:lsdException w:uiPriority="99" w:name="Medium List 1"/>
    <w:lsdException w:uiPriority="99" w:name="Medium List 2"/>
    <w:lsdException w:uiPriority="99" w:name="Medium Grid 1"/>
    <w:lsdException w:uiPriority="99" w:name="Medium Grid 2"/>
    <w:lsdException w:uiPriority="99" w:name="Medium Grid 3"/>
    <w:lsdException w:uiPriority="99" w:name="Dark List"/>
    <w:lsdException w:uiPriority="99" w:name="Colorful Shading"/>
    <w:lsdException w:uiPriority="99" w:name="Colorful List"/>
    <w:lsdException w:uiPriority="99" w:name="Colorful Grid"/>
    <w:lsdException w:uiPriority="99" w:name="Light Shading Accent 1"/>
    <w:lsdException w:uiPriority="99" w:name="Light List Accent 1"/>
    <w:lsdException w:uiPriority="99" w:name="Light Grid Accent 1"/>
    <w:lsdException w:uiPriority="99" w:name="Medium Shading 1 Accent 1"/>
    <w:lsdException w:uiPriority="99" w:name="Medium Shading 2 Accent 1"/>
    <w:lsdException w:uiPriority="99" w:name="Medium List 1 Accent 1"/>
    <w:lsdException w:uiPriority="99" w:name="Medium List 2 Accent 1"/>
    <w:lsdException w:uiPriority="99" w:name="Medium Grid 1 Accent 1"/>
    <w:lsdException w:uiPriority="99" w:name="Medium Grid 2 Accent 1"/>
    <w:lsdException w:uiPriority="99" w:name="Medium Grid 3 Accent 1"/>
    <w:lsdException w:uiPriority="99" w:name="Dark List Accent 1"/>
    <w:lsdException w:uiPriority="99" w:name="Colorful Shading Accent 1"/>
    <w:lsdException w:uiPriority="99" w:name="Colorful List Accent 1"/>
    <w:lsdException w:uiPriority="99" w:name="Colorful Grid Accent 1"/>
    <w:lsdException w:uiPriority="99" w:name="Light Shading Accent 2"/>
    <w:lsdException w:uiPriority="99" w:name="Light List Accent 2"/>
    <w:lsdException w:uiPriority="99" w:name="Light Grid Accent 2"/>
    <w:lsdException w:uiPriority="99" w:name="Medium Shading 1 Accent 2"/>
    <w:lsdException w:uiPriority="99" w:name="Medium Shading 2 Accent 2"/>
    <w:lsdException w:uiPriority="99" w:name="Medium List 1 Accent 2"/>
    <w:lsdException w:uiPriority="99" w:name="Medium List 2 Accent 2"/>
    <w:lsdException w:uiPriority="99" w:name="Medium Grid 1 Accent 2"/>
    <w:lsdException w:uiPriority="99" w:name="Medium Grid 2 Accent 2"/>
    <w:lsdException w:uiPriority="99" w:name="Medium Grid 3 Accent 2"/>
    <w:lsdException w:uiPriority="99" w:name="Dark List Accent 2"/>
    <w:lsdException w:uiPriority="99" w:name="Colorful Shading Accent 2"/>
    <w:lsdException w:uiPriority="99" w:name="Colorful List Accent 2"/>
    <w:lsdException w:uiPriority="99" w:name="Colorful Grid Accent 2"/>
    <w:lsdException w:uiPriority="99" w:name="Light Shading Accent 3"/>
    <w:lsdException w:uiPriority="99" w:name="Light List Accent 3"/>
    <w:lsdException w:uiPriority="99" w:name="Light Grid Accent 3"/>
    <w:lsdException w:uiPriority="99" w:name="Medium Shading 1 Accent 3"/>
    <w:lsdException w:uiPriority="99" w:name="Medium Shading 2 Accent 3"/>
    <w:lsdException w:uiPriority="99" w:name="Medium List 1 Accent 3"/>
    <w:lsdException w:uiPriority="99" w:name="Medium List 2 Accent 3"/>
    <w:lsdException w:uiPriority="99" w:name="Medium Grid 1 Accent 3"/>
    <w:lsdException w:uiPriority="99" w:name="Medium Grid 2 Accent 3"/>
    <w:lsdException w:uiPriority="99" w:name="Medium Grid 3 Accent 3"/>
    <w:lsdException w:uiPriority="99" w:name="Dark List Accent 3"/>
    <w:lsdException w:uiPriority="99" w:name="Colorful Shading Accent 3"/>
    <w:lsdException w:uiPriority="99" w:name="Colorful List Accent 3"/>
    <w:lsdException w:uiPriority="99" w:name="Colorful Grid Accent 3"/>
    <w:lsdException w:uiPriority="99" w:name="Light Shading Accent 4"/>
    <w:lsdException w:uiPriority="99" w:name="Light List Accent 4"/>
    <w:lsdException w:uiPriority="99" w:name="Light Grid Accent 4"/>
    <w:lsdException w:uiPriority="99" w:name="Medium Shading 1 Accent 4"/>
    <w:lsdException w:uiPriority="99" w:name="Medium Shading 2 Accent 4"/>
    <w:lsdException w:uiPriority="99" w:name="Medium List 1 Accent 4"/>
    <w:lsdException w:uiPriority="99" w:name="Medium List 2 Accent 4"/>
    <w:lsdException w:uiPriority="99" w:name="Medium Grid 1 Accent 4"/>
    <w:lsdException w:uiPriority="99" w:name="Medium Grid 2 Accent 4"/>
    <w:lsdException w:uiPriority="99" w:name="Medium Grid 3 Accent 4"/>
    <w:lsdException w:uiPriority="99" w:name="Dark List Accent 4"/>
    <w:lsdException w:uiPriority="99" w:name="Colorful Shading Accent 4"/>
    <w:lsdException w:uiPriority="99" w:name="Colorful List Accent 4"/>
    <w:lsdException w:uiPriority="99" w:name="Colorful Grid Accent 4"/>
    <w:lsdException w:uiPriority="99" w:name="Light Shading Accent 5"/>
    <w:lsdException w:uiPriority="99" w:name="Light List Accent 5"/>
    <w:lsdException w:uiPriority="99" w:name="Light Grid Accent 5"/>
    <w:lsdException w:uiPriority="99" w:name="Medium Shading 1 Accent 5"/>
    <w:lsdException w:uiPriority="99" w:name="Medium Shading 2 Accent 5"/>
    <w:lsdException w:uiPriority="99" w:name="Medium List 1 Accent 5"/>
    <w:lsdException w:uiPriority="99" w:name="Medium List 2 Accent 5"/>
    <w:lsdException w:uiPriority="99" w:name="Medium Grid 1 Accent 5"/>
    <w:lsdException w:uiPriority="99" w:name="Medium Grid 2 Accent 5"/>
    <w:lsdException w:uiPriority="99" w:name="Medium Grid 3 Accent 5"/>
    <w:lsdException w:uiPriority="99" w:name="Dark List Accent 5"/>
    <w:lsdException w:uiPriority="99" w:name="Colorful Shading Accent 5"/>
    <w:lsdException w:uiPriority="99" w:name="Colorful List Accent 5"/>
    <w:lsdException w:uiPriority="99" w:name="Colorful Grid Accent 5"/>
    <w:lsdException w:uiPriority="99" w:name="Light Shading Accent 6"/>
    <w:lsdException w:uiPriority="99" w:name="Light List Accent 6"/>
    <w:lsdException w:uiPriority="99" w:name="Light Grid Accent 6"/>
    <w:lsdException w:uiPriority="99" w:name="Medium Shading 1 Accent 6"/>
    <w:lsdException w:uiPriority="99" w:name="Medium Shading 2 Accent 6"/>
    <w:lsdException w:uiPriority="99" w:name="Medium List 1 Accent 6"/>
    <w:lsdException w:uiPriority="99" w:name="Medium List 2 Accent 6"/>
    <w:lsdException w:uiPriority="99" w:name="Medium Grid 1 Accent 6"/>
    <w:lsdException w:uiPriority="99" w:name="Medium Grid 2 Accent 6"/>
    <w:lsdException w:uiPriority="99" w:name="Medium Grid 3 Accent 6"/>
    <w:lsdException w:uiPriority="99" w:name="Dark List Accent 6"/>
    <w:lsdException w:uiPriority="99" w:name="Colorful Shading Accent 6"/>
    <w:lsdException w:uiPriority="99" w:name="Colorful List Accent 6"/>
    <w:lsdException w:uiPriority="99" w:name="Colorful Grid Accent 6"/>
  </w:latentStyles>
  <w:style w:type="paragraph" w:default="1" w:styleId="1">
    <w:name w:val="Normal"/>
    <w:semiHidden/>
    <w:unhideWhenUsed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uiPriority w:val="0"/>
    <w:pPr>
      <w:widowControl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2">
    <w:name w:val="16"/>
    <w:basedOn w:val="11"/>
    <w:uiPriority w:val="0"/>
    <w:rPr>
      <w:rFonts w:hint="default" w:ascii="Times New Roman" w:hAnsi="Times New Roman" w:cs="Times New Roman"/>
    </w:rPr>
  </w:style>
  <w:style w:type="character" w:customStyle="1" w:styleId="13">
    <w:name w:val="21"/>
    <w:basedOn w:val="11"/>
    <w:uiPriority w:val="0"/>
    <w:rPr>
      <w:rFonts w:hint="eastAsia" w:ascii="Times New Roman" w:eastAsia="楷体_GB2312" w:cs="楷体_GB2312"/>
      <w:sz w:val="30"/>
      <w:szCs w:val="30"/>
    </w:rPr>
  </w:style>
  <w:style w:type="paragraph" w:customStyle="1" w:styleId="14">
    <w:name w:val="font6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Times New Roman" w:hAnsi="宋体" w:eastAsia="楷体_GB2312" w:cs="楷体_GB2312"/>
      <w:kern w:val="0"/>
      <w:sz w:val="32"/>
      <w:szCs w:val="32"/>
      <w:lang w:val="en-US" w:eastAsia="zh-CN" w:bidi="ar"/>
    </w:rPr>
  </w:style>
  <w:style w:type="character" w:customStyle="1" w:styleId="15">
    <w:name w:val="20"/>
    <w:basedOn w:val="11"/>
    <w:uiPriority w:val="0"/>
    <w:rPr>
      <w:rFonts w:hint="eastAsia" w:ascii="Times New Roman" w:eastAsia="楷体_GB2312" w:cs="楷体_GB2312"/>
      <w:sz w:val="30"/>
      <w:szCs w:val="30"/>
    </w:rPr>
  </w:style>
  <w:style w:type="paragraph" w:customStyle="1" w:styleId="16">
    <w:name w:val="HTML 预设格式 Char"/>
    <w:basedOn w:val="1"/>
    <w:uiPriority w:val="0"/>
    <w:pPr>
      <w:keepNext w:val="0"/>
      <w:keepLines w:val="0"/>
      <w:widowControl/>
      <w:suppressLineNumber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7">
    <w:name w:val="17"/>
    <w:basedOn w:val="11"/>
    <w:uiPriority w:val="0"/>
    <w:rPr>
      <w:rFonts w:hint="default" w:ascii="Times New Roman" w:hAnsi="Times New Roman" w:eastAsia="楷体_GB2312" w:cs="Times New Roman"/>
      <w:spacing w:val="30"/>
      <w:sz w:val="36"/>
      <w:szCs w:val="36"/>
    </w:rPr>
  </w:style>
  <w:style w:type="character" w:customStyle="1" w:styleId="18">
    <w:name w:val="10"/>
    <w:basedOn w:val="11"/>
    <w:uiPriority w:val="0"/>
    <w:rPr>
      <w:rFonts w:hint="default" w:ascii="Times New Roman" w:hAnsi="Times New Roman" w:cs="Times New Roman"/>
    </w:rPr>
  </w:style>
  <w:style w:type="character" w:customStyle="1" w:styleId="19">
    <w:name w:val="15"/>
    <w:basedOn w:val="11"/>
    <w:uiPriority w:val="0"/>
    <w:rPr>
      <w:rFonts w:hint="eastAsia" w:ascii="Times New Roman" w:hAnsi="宋体" w:eastAsia="黑体" w:cs="黑体"/>
      <w:spacing w:val="40"/>
      <w:sz w:val="52"/>
      <w:szCs w:val="52"/>
    </w:rPr>
  </w:style>
  <w:style w:type="character" w:customStyle="1" w:styleId="20">
    <w:name w:val="18"/>
    <w:basedOn w:val="11"/>
    <w:uiPriority w:val="0"/>
    <w:rPr>
      <w:rFonts w:hint="default" w:ascii="Times New Roman" w:hAnsi="Times New Roman" w:eastAsia="仿宋_GB2312" w:cs="Times New Roman"/>
      <w:sz w:val="30"/>
      <w:szCs w:val="30"/>
    </w:rPr>
  </w:style>
  <w:style w:type="character" w:customStyle="1" w:styleId="21">
    <w:name w:val="19"/>
    <w:basedOn w:val="11"/>
    <w:uiPriority w:val="0"/>
    <w:rPr>
      <w:rFonts w:hint="eastAsia" w:ascii="黑体" w:hAnsi="宋体" w:eastAsia="黑体" w:cs="黑体"/>
      <w:sz w:val="36"/>
      <w:szCs w:val="36"/>
    </w:rPr>
  </w:style>
  <w:style w:type="paragraph" w:customStyle="1" w:styleId="22">
    <w:name w:val="font5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黑体" w:hAnsi="宋体" w:eastAsia="黑体" w:cs="黑体"/>
      <w:kern w:val="0"/>
      <w:sz w:val="36"/>
      <w:szCs w:val="36"/>
      <w:lang w:val="en-US" w:eastAsia="zh-CN" w:bidi="ar"/>
    </w:rPr>
  </w:style>
  <w:style w:type="character" w:customStyle="1" w:styleId="23">
    <w:name w:val="22"/>
    <w:basedOn w:val="11"/>
    <w:uiPriority w:val="0"/>
    <w:rPr>
      <w:rFonts w:hint="eastAsia" w:ascii="Times New Roman" w:eastAsia="楷体_GB2312" w:cs="楷体_GB2312"/>
      <w:sz w:val="32"/>
      <w:szCs w:val="32"/>
    </w:rPr>
  </w:style>
  <w:style w:type="paragraph" w:customStyle="1" w:styleId="24">
    <w:name w:val="p Char"/>
    <w:basedOn w:val="1"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25">
    <w:name w:val="24"/>
    <w:basedOn w:val="11"/>
    <w:uiPriority w:val="0"/>
    <w:rPr>
      <w:rFonts w:hint="eastAsia" w:ascii="Times New Roman" w:eastAsia="楷体_GB2312" w:cs="楷体_GB2312"/>
      <w:sz w:val="32"/>
      <w:szCs w:val="32"/>
    </w:rPr>
  </w:style>
  <w:style w:type="character" w:customStyle="1" w:styleId="26">
    <w:name w:val="23"/>
    <w:basedOn w:val="11"/>
    <w:uiPriority w:val="0"/>
    <w:rPr>
      <w:rFonts w:hint="eastAsia" w:ascii="Times New Roman" w:eastAsia="楷体_GB2312" w:cs="楷体_GB2312"/>
      <w:sz w:val="28"/>
      <w:szCs w:val="28"/>
    </w:rPr>
  </w:style>
  <w:style w:type="paragraph" w:customStyle="1" w:styleId="27">
    <w:name w:val="font2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Times New Roman" w:hAnsi="宋体" w:eastAsia="楷体_GB2312" w:cs="楷体_GB2312"/>
      <w:kern w:val="0"/>
      <w:sz w:val="30"/>
      <w:szCs w:val="30"/>
      <w:lang w:val="en-US" w:eastAsia="zh-CN" w:bidi="ar"/>
    </w:rPr>
  </w:style>
  <w:style w:type="paragraph" w:customStyle="1" w:styleId="28">
    <w:name w:val="font4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宋体" w:hAnsi="宋体" w:eastAsia="楷体_GB2312" w:cs="宋体"/>
      <w:spacing w:val="30"/>
      <w:kern w:val="0"/>
      <w:sz w:val="36"/>
      <w:szCs w:val="36"/>
      <w:lang w:val="en-US" w:eastAsia="zh-CN" w:bidi="ar"/>
    </w:rPr>
  </w:style>
  <w:style w:type="paragraph" w:customStyle="1" w:styleId="29">
    <w:name w:val="普通(网站) Char"/>
    <w:basedOn w:val="1"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30">
    <w:name w:val="font8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Times New Roman" w:hAnsi="宋体" w:eastAsia="楷体_GB2312" w:cs="楷体_GB2312"/>
      <w:kern w:val="0"/>
      <w:sz w:val="24"/>
      <w:szCs w:val="24"/>
      <w:lang w:val="en-US" w:eastAsia="zh-CN" w:bidi="ar"/>
    </w:rPr>
  </w:style>
  <w:style w:type="paragraph" w:customStyle="1" w:styleId="31">
    <w:name w:val="font7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Times New Roman" w:hAnsi="宋体" w:eastAsia="楷体_GB2312" w:cs="楷体_GB2312"/>
      <w:kern w:val="0"/>
      <w:sz w:val="28"/>
      <w:szCs w:val="28"/>
      <w:lang w:val="en-US" w:eastAsia="zh-CN" w:bidi="ar"/>
    </w:rPr>
  </w:style>
  <w:style w:type="paragraph" w:customStyle="1" w:styleId="32">
    <w:name w:val="font1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宋体" w:hAnsi="宋体" w:eastAsia="仿宋_GB2312" w:cs="宋体"/>
      <w:kern w:val="0"/>
      <w:sz w:val="30"/>
      <w:szCs w:val="30"/>
      <w:lang w:val="en-US" w:eastAsia="zh-CN" w:bidi="ar"/>
    </w:rPr>
  </w:style>
  <w:style w:type="paragraph" w:customStyle="1" w:styleId="33">
    <w:name w:val="font3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Times New Roman" w:hAnsi="宋体" w:eastAsia="黑体" w:cs="黑体"/>
      <w:spacing w:val="40"/>
      <w:kern w:val="0"/>
      <w:sz w:val="52"/>
      <w:szCs w:val="5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1990</Words>
  <Characters>2085</Characters>
  <Lines>1</Lines>
  <Paragraphs>1</Paragraphs>
  <TotalTime>0</TotalTime>
  <ScaleCrop>false</ScaleCrop>
  <LinksUpToDate>false</LinksUpToDate>
  <CharactersWithSpaces>2162</CharactersWithSpaces>
  <Application>WPS Office_12.1.0.21171_F1E327BC-269C-435d-A152-05C5408002CA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2026-03-04T07:46:45Z</dcterms:created>
  <dc:creator>Administrator</dc:creator>
  <cp:lastModifiedBy>十四师政务网</cp:lastModifiedBy>
  <dcterms:modified xsi:type="dcterms:W3CDTF">2026-03-04T07:47:25Z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eyJoZGlkIjoiNjNkMTQ3MDZjZDQwOGM4ZTVjY2I5OTgzNjVmYmVlZmQiLCJ1c2VySWQiOiIxNjU2NTU0MjE4In0=</vt:lpwstr>
  </property>
  <property fmtid="{D5CDD505-2E9C-101B-9397-08002B2CF9AE}" pid="3" name="KSOProductBuildVer">
    <vt:lpwstr>2052-12.1.0.21171</vt:lpwstr>
  </property>
  <property fmtid="{D5CDD505-2E9C-101B-9397-08002B2CF9AE}" pid="4" name="ICV">
    <vt:lpwstr>3F54958F20A54447A1837A97F5637064_13</vt:lpwstr>
  </property>
</Properties>
</file>