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055F3928">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sz w:val="44"/>
          <w:szCs w:val="44"/>
        </w:rPr>
      </w:pPr>
      <w:r>
        <w:rPr>
          <w:rFonts w:hint="eastAsia" w:ascii="Times New Roman" w:hAnsi="Times New Roman" w:eastAsia="方正小标宋简体" w:cs="方正小标宋简体"/>
          <w:sz w:val="44"/>
          <w:szCs w:val="44"/>
          <w:lang w:val="en-US" w:eastAsia="zh-CN"/>
        </w:rPr>
        <w:t>2026年</w:t>
      </w:r>
      <w:r>
        <w:rPr>
          <w:rFonts w:hint="eastAsia" w:ascii="Times New Roman" w:hAnsi="Times New Roman" w:eastAsia="方正小标宋简体" w:cs="方正小标宋简体"/>
          <w:sz w:val="44"/>
          <w:szCs w:val="44"/>
        </w:rPr>
        <w:t>第</w:t>
      </w:r>
      <w:bookmarkStart w:id="0" w:name="_GoBack"/>
      <w:bookmarkEnd w:id="0"/>
      <w:r>
        <w:rPr>
          <w:rFonts w:hint="eastAsia" w:ascii="Times New Roman" w:hAnsi="Times New Roman" w:eastAsia="方正小标宋简体" w:cs="方正小标宋简体"/>
          <w:sz w:val="44"/>
          <w:szCs w:val="44"/>
        </w:rPr>
        <w:t>十四师昆玉市商品住房消费补贴</w:t>
      </w:r>
    </w:p>
    <w:p w14:paraId="08F114F9">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Times New Roman" w:hAnsi="Times New Roman" w:eastAsia="方正小标宋简体" w:cs="方正小标宋简体"/>
          <w:sz w:val="44"/>
          <w:szCs w:val="44"/>
          <w:lang w:eastAsia="zh-CN"/>
        </w:rPr>
      </w:pPr>
      <w:r>
        <w:rPr>
          <w:rFonts w:hint="eastAsia" w:ascii="Times New Roman" w:hAnsi="Times New Roman" w:eastAsia="方正小标宋简体" w:cs="方正小标宋简体"/>
          <w:sz w:val="44"/>
          <w:szCs w:val="44"/>
        </w:rPr>
        <w:t>活动工作方案</w:t>
      </w:r>
      <w:r>
        <w:rPr>
          <w:rFonts w:hint="eastAsia" w:ascii="Times New Roman" w:hAnsi="Times New Roman" w:eastAsia="方正小标宋简体" w:cs="方正小标宋简体"/>
          <w:sz w:val="44"/>
          <w:szCs w:val="44"/>
          <w:lang w:eastAsia="zh-CN"/>
        </w:rPr>
        <w:t>（</w:t>
      </w:r>
      <w:r>
        <w:rPr>
          <w:rFonts w:hint="eastAsia" w:ascii="Times New Roman" w:hAnsi="Times New Roman" w:eastAsia="方正小标宋简体" w:cs="方正小标宋简体"/>
          <w:sz w:val="44"/>
          <w:szCs w:val="44"/>
          <w:lang w:val="en-US" w:eastAsia="zh-CN"/>
        </w:rPr>
        <w:t>征求意见稿</w:t>
      </w:r>
      <w:r>
        <w:rPr>
          <w:rFonts w:hint="eastAsia" w:ascii="Times New Roman" w:hAnsi="Times New Roman" w:eastAsia="方正小标宋简体" w:cs="方正小标宋简体"/>
          <w:sz w:val="44"/>
          <w:szCs w:val="44"/>
          <w:lang w:eastAsia="zh-CN"/>
        </w:rPr>
        <w:t>）</w:t>
      </w:r>
    </w:p>
    <w:p w14:paraId="2486CE31">
      <w:pPr>
        <w:keepNext w:val="0"/>
        <w:keepLines w:val="0"/>
        <w:pageBreakBefore w:val="0"/>
        <w:widowControl w:val="0"/>
        <w:kinsoku/>
        <w:wordWrap/>
        <w:overflowPunct/>
        <w:topLinePunct w:val="0"/>
        <w:autoSpaceDE/>
        <w:autoSpaceDN/>
        <w:bidi w:val="0"/>
        <w:adjustRightInd/>
        <w:snapToGrid/>
        <w:spacing w:line="560" w:lineRule="exact"/>
        <w:textAlignment w:val="auto"/>
        <w:rPr>
          <w:rFonts w:hint="eastAsia" w:ascii="Times New Roman" w:hAnsi="Times New Roman" w:eastAsia="仿宋_GB2312" w:cs="仿宋_GB2312"/>
          <w:sz w:val="32"/>
          <w:szCs w:val="32"/>
        </w:rPr>
      </w:pPr>
    </w:p>
    <w:p w14:paraId="5B6BAC4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Theme="minorEastAsia" w:cstheme="minorBidi"/>
          <w:sz w:val="21"/>
          <w:szCs w:val="24"/>
          <w:lang w:eastAsia="zh-CN"/>
        </w:rPr>
      </w:pPr>
      <w:r>
        <w:rPr>
          <w:rFonts w:hint="eastAsia" w:ascii="Times New Roman" w:hAnsi="Times New Roman" w:eastAsia="仿宋_GB2312" w:cs="仿宋_GB2312"/>
          <w:sz w:val="32"/>
          <w:szCs w:val="32"/>
          <w:lang w:eastAsia="zh-CN"/>
        </w:rPr>
        <w:t>为深入贯彻落实中央经济工作会议精神及兵团党委、兵团关于稳定房地产市场的决策部署，严格对标《2026年兵团商品房消费补贴活动工作方案》（兵建发〔2026〕8号）要求，紧密结合第十四师昆玉市房地产市场发展实际，聚焦激发辖区内商品住房消费潜力，稳定房地产市场健康发展态势，</w:t>
      </w:r>
      <w:r>
        <w:rPr>
          <w:rFonts w:hint="eastAsia" w:ascii="Times New Roman" w:hAnsi="Times New Roman" w:eastAsia="仿宋_GB2312" w:cs="宋体"/>
          <w:color w:val="auto"/>
          <w:sz w:val="32"/>
          <w:szCs w:val="32"/>
          <w:lang w:val="en-US" w:eastAsia="zh-CN"/>
        </w:rPr>
        <w:t>进一步促进商品房消费，有效缓解房地产市场库存压力，切实减轻购房群众经济负担，扎实推进优惠安置政策落地，有力支持居民刚性和改善性住房需求</w:t>
      </w:r>
      <w:r>
        <w:rPr>
          <w:rFonts w:hint="eastAsia" w:ascii="Times New Roman" w:hAnsi="Times New Roman" w:eastAsia="仿宋_GB2312" w:cs="仿宋_GB2312"/>
          <w:sz w:val="32"/>
          <w:szCs w:val="32"/>
          <w:lang w:val="en-US" w:eastAsia="zh-CN"/>
        </w:rPr>
        <w:t>，特制定本《方案》。</w:t>
      </w:r>
    </w:p>
    <w:p w14:paraId="2BCE777F">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一、实施范围及时间</w:t>
      </w:r>
    </w:p>
    <w:p w14:paraId="68CD0ED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Theme="minorEastAsia" w:cstheme="minorBidi"/>
          <w:sz w:val="21"/>
          <w:szCs w:val="24"/>
          <w:lang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）补贴范</w:t>
      </w:r>
      <w:r>
        <w:rPr>
          <w:rFonts w:hint="eastAsia" w:ascii="楷体_GB2312" w:hAnsi="楷体_GB2312" w:eastAsia="楷体_GB2312" w:cs="楷体_GB2312"/>
          <w:sz w:val="32"/>
          <w:szCs w:val="32"/>
          <w:lang w:val="en-US" w:eastAsia="zh-CN"/>
        </w:rPr>
        <w:t>围。</w:t>
      </w:r>
      <w:r>
        <w:rPr>
          <w:rFonts w:hint="eastAsia" w:ascii="Times New Roman" w:hAnsi="Times New Roman" w:eastAsia="仿宋_GB2312" w:cs="仿宋_GB2312"/>
          <w:sz w:val="32"/>
          <w:szCs w:val="32"/>
          <w:lang w:eastAsia="zh-CN"/>
        </w:rPr>
        <w:t>第十四师昆玉市行政区域内，凡符合预售及现售条件的新建商品住房项目，均纳入本次政策覆盖范围。</w:t>
      </w:r>
    </w:p>
    <w:p w14:paraId="1A87F28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Theme="minorEastAsia" w:cstheme="minorBidi"/>
          <w:sz w:val="21"/>
          <w:szCs w:val="24"/>
          <w:lang w:eastAsia="zh-CN"/>
        </w:rPr>
      </w:pPr>
      <w:r>
        <w:rPr>
          <w:rFonts w:hint="eastAsia" w:ascii="楷体_GB2312" w:hAnsi="楷体_GB2312" w:eastAsia="楷体_GB2312" w:cs="楷体_GB2312"/>
          <w:sz w:val="32"/>
          <w:szCs w:val="32"/>
          <w:lang w:val="en-US" w:eastAsia="zh-CN"/>
        </w:rPr>
        <w:t>（二）实施时间。</w:t>
      </w:r>
      <w:r>
        <w:rPr>
          <w:rFonts w:hint="eastAsia" w:ascii="Times New Roman" w:hAnsi="Times New Roman" w:eastAsia="仿宋_GB2312" w:cs="仿宋_GB2312"/>
          <w:sz w:val="32"/>
          <w:szCs w:val="32"/>
          <w:lang w:val="en-US" w:eastAsia="zh-CN"/>
        </w:rPr>
        <w:t>严格按照兵团购房补贴政策实施周期同步执行，定为2026年1月1日至2026年12月31日。补贴申报与资金兑付工作须于上述规定时限内全面完成。</w:t>
      </w:r>
    </w:p>
    <w:p w14:paraId="2095D33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二、补贴对象</w:t>
      </w:r>
    </w:p>
    <w:p w14:paraId="71C0EDB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rPr>
        <w:t>2026年1月1日—12月31日期间，在第十四师昆玉市辖区内购买新建商品住房（包含期房和现房），且自签订购房合同之日起30日内，完成商品房买卖合同网签备案的购房人。未按规定时限完成网签备案的，不予享受补贴政策。</w:t>
      </w:r>
    </w:p>
    <w:p w14:paraId="31C2810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lang w:val="en-US" w:eastAsia="zh-CN"/>
        </w:rPr>
        <w:t>活动期内</w:t>
      </w:r>
      <w:r>
        <w:rPr>
          <w:rFonts w:hint="eastAsia" w:ascii="Times New Roman" w:hAnsi="Times New Roman" w:eastAsia="仿宋_GB2312" w:cs="仿宋_GB2312"/>
          <w:sz w:val="32"/>
          <w:szCs w:val="32"/>
        </w:rPr>
        <w:t>已完成《商品房买卖合同》网签备案或申请注销网签备案后原购房人重新网签的，不得</w:t>
      </w:r>
      <w:r>
        <w:rPr>
          <w:rFonts w:hint="eastAsia" w:ascii="Times New Roman" w:hAnsi="Times New Roman" w:eastAsia="仿宋_GB2312" w:cs="仿宋_GB2312"/>
          <w:sz w:val="32"/>
          <w:szCs w:val="32"/>
          <w:lang w:val="en-US" w:eastAsia="zh-CN"/>
        </w:rPr>
        <w:t>重复</w:t>
      </w:r>
      <w:r>
        <w:rPr>
          <w:rFonts w:hint="eastAsia" w:ascii="Times New Roman" w:hAnsi="Times New Roman" w:eastAsia="仿宋_GB2312" w:cs="仿宋_GB2312"/>
          <w:sz w:val="32"/>
          <w:szCs w:val="32"/>
        </w:rPr>
        <w:t>享受购房补贴。</w:t>
      </w:r>
    </w:p>
    <w:p w14:paraId="0A20439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rPr>
        <w:t>为解决历史遗留不动产证办理且开发企业资质已到期等原因，需补录网签的商品房买卖合同的购房人，不享受购房补贴。</w:t>
      </w:r>
    </w:p>
    <w:p w14:paraId="02F0489E">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三、补贴标准</w:t>
      </w:r>
    </w:p>
    <w:p w14:paraId="00B3015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rPr>
        <w:t>严格按照兵团要求，在兵团财政补贴基础上，师市财政按兵团补贴标准</w:t>
      </w:r>
      <w:r>
        <w:rPr>
          <w:rFonts w:hint="eastAsia" w:ascii="Times New Roman" w:hAnsi="Times New Roman" w:eastAsia="仿宋_GB2312" w:cs="仿宋_GB2312"/>
          <w:sz w:val="32"/>
          <w:szCs w:val="32"/>
          <w:lang w:val="en-US" w:eastAsia="zh-CN"/>
        </w:rPr>
        <w:t>5</w:t>
      </w:r>
      <w:r>
        <w:rPr>
          <w:rFonts w:hint="eastAsia" w:ascii="Times New Roman" w:hAnsi="Times New Roman" w:eastAsia="仿宋_GB2312" w:cs="仿宋_GB2312"/>
          <w:sz w:val="32"/>
          <w:szCs w:val="32"/>
        </w:rPr>
        <w:t>0%的比例叠加差异化补贴，</w:t>
      </w:r>
      <w:r>
        <w:rPr>
          <w:rFonts w:hint="eastAsia" w:ascii="Times New Roman" w:hAnsi="Times New Roman" w:eastAsia="仿宋_GB2312" w:cs="仿宋_GB2312"/>
          <w:sz w:val="32"/>
          <w:szCs w:val="32"/>
          <w:lang w:val="en-US" w:eastAsia="zh-CN"/>
        </w:rPr>
        <w:t>补贴标准与2025年保持一致，</w:t>
      </w:r>
      <w:r>
        <w:rPr>
          <w:rFonts w:hint="eastAsia" w:ascii="Times New Roman" w:hAnsi="Times New Roman" w:eastAsia="仿宋_GB2312" w:cs="仿宋_GB2312"/>
          <w:sz w:val="32"/>
          <w:szCs w:val="32"/>
        </w:rPr>
        <w:t>补贴资金由师市财政统筹保障，具体标准如下：</w:t>
      </w:r>
    </w:p>
    <w:p w14:paraId="3C1EA75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rPr>
        <w:t>对购买90平方米以下（含90平方米）商品住房的，每套购房补贴7500元，其中：兵团财政补贴5000元，师市财政补贴2500元。</w:t>
      </w:r>
    </w:p>
    <w:p w14:paraId="2D2E557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二</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lang w:val="en-US" w:eastAsia="zh-CN"/>
        </w:rPr>
        <w:t>购买90—160平方米（含160平方米）商品住房的，每套购房补贴15000元，其中：兵团财政补贴10000元，师市财政补贴5000元。</w:t>
      </w:r>
    </w:p>
    <w:p w14:paraId="7BB276F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val="en-US" w:eastAsia="zh-CN"/>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三</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lang w:val="en-US" w:eastAsia="zh-CN"/>
        </w:rPr>
        <w:t>购买160平方米以上商品住房由师市财政补贴5000元。</w:t>
      </w:r>
    </w:p>
    <w:p w14:paraId="5779EA6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四</w:t>
      </w:r>
      <w:r>
        <w:rPr>
          <w:rFonts w:hint="eastAsia" w:ascii="楷体_GB2312" w:hAnsi="楷体_GB2312" w:eastAsia="楷体_GB2312" w:cs="楷体_GB2312"/>
          <w:sz w:val="32"/>
          <w:szCs w:val="32"/>
          <w:lang w:eastAsia="zh-CN"/>
        </w:rPr>
        <w:t>）</w:t>
      </w:r>
      <w:r>
        <w:rPr>
          <w:rFonts w:hint="eastAsia" w:ascii="Times New Roman" w:hAnsi="Times New Roman" w:eastAsia="仿宋_GB2312" w:cs="仿宋_GB2312"/>
          <w:sz w:val="32"/>
          <w:szCs w:val="32"/>
          <w:lang w:val="en-US" w:eastAsia="zh-CN"/>
        </w:rPr>
        <w:t>此次购房优惠补贴政策可与师市引进人才购房补贴政策和新职工安置政策叠加使用。</w:t>
      </w:r>
    </w:p>
    <w:p w14:paraId="2F86BCA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rPr>
      </w:pPr>
      <w:r>
        <w:rPr>
          <w:rFonts w:hint="eastAsia" w:ascii="Times New Roman" w:hAnsi="Times New Roman" w:eastAsia="黑体" w:cs="黑体"/>
          <w:sz w:val="32"/>
          <w:szCs w:val="32"/>
        </w:rPr>
        <w:t>四、申请资料</w:t>
      </w:r>
    </w:p>
    <w:p w14:paraId="454C12D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一</w:t>
      </w:r>
      <w:r>
        <w:rPr>
          <w:rFonts w:hint="eastAsia" w:ascii="楷体_GB2312" w:hAnsi="楷体_GB2312" w:eastAsia="楷体_GB2312" w:cs="楷体_GB2312"/>
          <w:sz w:val="32"/>
          <w:szCs w:val="32"/>
          <w:lang w:eastAsia="zh-CN"/>
        </w:rPr>
        <w:t>）</w:t>
      </w:r>
      <w:r>
        <w:rPr>
          <w:rFonts w:hint="eastAsia" w:ascii="楷体_GB2312" w:hAnsi="楷体_GB2312" w:eastAsia="楷体_GB2312" w:cs="楷体_GB2312"/>
          <w:sz w:val="32"/>
          <w:szCs w:val="32"/>
          <w:lang w:val="en-US" w:eastAsia="zh-CN"/>
        </w:rPr>
        <w:t>申请方式。</w:t>
      </w:r>
      <w:r>
        <w:rPr>
          <w:rFonts w:hint="eastAsia" w:ascii="Times New Roman" w:hAnsi="Times New Roman" w:eastAsia="仿宋_GB2312" w:cs="仿宋_GB2312"/>
          <w:sz w:val="32"/>
          <w:szCs w:val="32"/>
        </w:rPr>
        <w:t>本次商品住房补贴以领取消费券为</w:t>
      </w:r>
      <w:r>
        <w:rPr>
          <w:rFonts w:hint="eastAsia" w:ascii="Times New Roman" w:hAnsi="Times New Roman" w:eastAsia="仿宋_GB2312" w:cs="仿宋_GB2312"/>
          <w:b/>
          <w:bCs/>
          <w:sz w:val="32"/>
          <w:szCs w:val="32"/>
        </w:rPr>
        <w:t>唯一申请形式</w:t>
      </w:r>
      <w:r>
        <w:rPr>
          <w:rFonts w:hint="eastAsia" w:ascii="Times New Roman" w:hAnsi="Times New Roman" w:eastAsia="仿宋_GB2312" w:cs="仿宋_GB2312"/>
          <w:sz w:val="32"/>
          <w:szCs w:val="32"/>
        </w:rPr>
        <w:t>，购房人需通过商业银行APP线上提交以下资料，所有资料均需真实、清晰、完整，复印件/电子扫描件需与原件一致：</w:t>
      </w:r>
    </w:p>
    <w:p w14:paraId="05DE13A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1.</w:t>
      </w:r>
      <w:r>
        <w:rPr>
          <w:rFonts w:hint="eastAsia" w:ascii="Times New Roman" w:hAnsi="Times New Roman" w:eastAsia="仿宋_GB2312" w:cs="仿宋_GB2312"/>
          <w:sz w:val="32"/>
          <w:szCs w:val="32"/>
        </w:rPr>
        <w:t>《第十四师昆玉市商品住房消费补贴申请表》1份（统一从兵团指定线上平台下载）；</w:t>
      </w:r>
    </w:p>
    <w:p w14:paraId="660C0247">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2.</w:t>
      </w:r>
      <w:r>
        <w:rPr>
          <w:rFonts w:hint="eastAsia" w:ascii="Times New Roman" w:hAnsi="Times New Roman" w:eastAsia="仿宋_GB2312" w:cs="仿宋_GB2312"/>
          <w:sz w:val="32"/>
          <w:szCs w:val="32"/>
        </w:rPr>
        <w:t>商品房买卖合同网签备案编号（可在线查询导出）；</w:t>
      </w:r>
    </w:p>
    <w:p w14:paraId="52446B3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rPr>
      </w:pPr>
      <w:r>
        <w:rPr>
          <w:rFonts w:hint="eastAsia" w:ascii="Times New Roman" w:hAnsi="Times New Roman" w:eastAsia="仿宋_GB2312" w:cs="仿宋_GB2312"/>
          <w:sz w:val="32"/>
          <w:szCs w:val="32"/>
          <w:lang w:val="en-US" w:eastAsia="zh-CN"/>
        </w:rPr>
        <w:t>3.</w:t>
      </w:r>
      <w:r>
        <w:rPr>
          <w:rFonts w:hint="eastAsia" w:ascii="Times New Roman" w:hAnsi="Times New Roman" w:eastAsia="仿宋_GB2312" w:cs="仿宋_GB2312"/>
          <w:sz w:val="32"/>
          <w:szCs w:val="32"/>
        </w:rPr>
        <w:t>购房人居民身份证人像面、国徽面清晰电子照片；</w:t>
      </w:r>
    </w:p>
    <w:p w14:paraId="730FEDB9">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val="en-US" w:eastAsia="zh-CN"/>
        </w:rPr>
        <w:t>4.</w:t>
      </w:r>
      <w:r>
        <w:rPr>
          <w:rFonts w:hint="eastAsia" w:ascii="Times New Roman" w:hAnsi="Times New Roman" w:eastAsia="仿宋_GB2312" w:cs="仿宋_GB2312"/>
          <w:sz w:val="32"/>
          <w:szCs w:val="32"/>
        </w:rPr>
        <w:t>购房人本人名下银行卡（I类账户）清晰电子照片，需包含完整卡号、开户行信息</w:t>
      </w:r>
      <w:r>
        <w:rPr>
          <w:rFonts w:hint="eastAsia" w:ascii="Times New Roman" w:hAnsi="Times New Roman" w:eastAsia="仿宋_GB2312" w:cs="仿宋_GB2312"/>
          <w:sz w:val="32"/>
          <w:szCs w:val="32"/>
          <w:lang w:eastAsia="zh-CN"/>
        </w:rPr>
        <w:t>；</w:t>
      </w:r>
    </w:p>
    <w:p w14:paraId="7FA5B08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val="en-US" w:eastAsia="zh-CN"/>
        </w:rPr>
        <w:t>5</w:t>
      </w:r>
      <w:r>
        <w:rPr>
          <w:rFonts w:hint="eastAsia" w:ascii="Times New Roman" w:hAnsi="Times New Roman" w:eastAsia="仿宋_GB2312" w:cs="仿宋_GB2312"/>
          <w:sz w:val="32"/>
          <w:szCs w:val="32"/>
          <w:lang w:eastAsia="zh-CN"/>
        </w:rPr>
        <w:t>.购房收据或增值税发票复印件；</w:t>
      </w:r>
    </w:p>
    <w:p w14:paraId="685FAD0D">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val="en-US" w:eastAsia="zh-CN"/>
        </w:rPr>
        <w:t>6</w:t>
      </w:r>
      <w:r>
        <w:rPr>
          <w:rFonts w:hint="eastAsia" w:ascii="Times New Roman" w:hAnsi="Times New Roman" w:eastAsia="仿宋_GB2312" w:cs="仿宋_GB2312"/>
          <w:sz w:val="32"/>
          <w:szCs w:val="32"/>
          <w:lang w:eastAsia="zh-CN"/>
        </w:rPr>
        <w:t>.商品房合同备案表。</w:t>
      </w:r>
    </w:p>
    <w:p w14:paraId="0BDC18B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仿宋_GB2312" w:cs="仿宋_GB2312"/>
          <w:sz w:val="32"/>
          <w:szCs w:val="32"/>
          <w:lang w:eastAsia="zh-CN"/>
        </w:rPr>
        <w:t>凡已享受购房补贴的购房人，商品房买卖合同不得随意注销或变更，因特殊原因确需注销商品房买卖合同备案的，应全额退还已领取的购房补贴，师市住建局凭退款票据撤销备案《商品房买卖合同》。购房人为2人及以上的，以其中1名购房人为申请主体申请购房补贴即可。同一套住宅只可申请1次补贴。享受安置政策和人才引进购房申请补贴的，需由所辖团场或相关单位开具证明材料。</w:t>
      </w:r>
    </w:p>
    <w:p w14:paraId="70A17C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w:t>
      </w:r>
      <w:r>
        <w:rPr>
          <w:rFonts w:hint="eastAsia" w:ascii="Times New Roman" w:hAnsi="Times New Roman" w:eastAsia="楷体_GB2312" w:cs="楷体_GB2312"/>
          <w:sz w:val="32"/>
          <w:szCs w:val="32"/>
          <w:lang w:val="en-US" w:eastAsia="zh-CN"/>
        </w:rPr>
        <w:t>二</w:t>
      </w:r>
      <w:r>
        <w:rPr>
          <w:rFonts w:hint="eastAsia" w:ascii="Times New Roman" w:hAnsi="Times New Roman" w:eastAsia="楷体_GB2312" w:cs="楷体_GB2312"/>
          <w:sz w:val="32"/>
          <w:szCs w:val="32"/>
          <w:lang w:eastAsia="zh-CN"/>
        </w:rPr>
        <w:t>）申请时间及补报要求。</w:t>
      </w:r>
      <w:r>
        <w:rPr>
          <w:rFonts w:hint="eastAsia" w:ascii="Times New Roman" w:hAnsi="Times New Roman" w:eastAsia="仿宋_GB2312" w:cs="仿宋_GB2312"/>
          <w:sz w:val="32"/>
          <w:szCs w:val="32"/>
          <w:lang w:eastAsia="zh-CN"/>
        </w:rPr>
        <w:t>购房人本人通过商业银行APP线上申请消费券，申请时间为本方案印发之日起至2026年12月31日止；2026年1月1日至本方案印发之日期间，已在昆玉市购买新建商品住房并完成网签备案的购房人，可在申请时限内补充提交上述资料，按流程领取补贴，逾期未申请的视为自动放弃。</w:t>
      </w:r>
    </w:p>
    <w:p w14:paraId="3410B10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五、补贴资金申报及兑付流程</w:t>
      </w:r>
    </w:p>
    <w:p w14:paraId="0E07C7BC">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Theme="minorEastAsia" w:cstheme="minorBidi"/>
          <w:sz w:val="21"/>
          <w:szCs w:val="24"/>
          <w:lang w:eastAsia="zh-CN"/>
        </w:rPr>
      </w:pPr>
      <w:r>
        <w:rPr>
          <w:rFonts w:hint="eastAsia" w:ascii="Times New Roman" w:hAnsi="Times New Roman" w:eastAsia="仿宋_GB2312" w:cs="仿宋_GB2312"/>
          <w:sz w:val="32"/>
          <w:szCs w:val="32"/>
          <w:lang w:val="en-US" w:eastAsia="zh-CN"/>
        </w:rPr>
        <w:t>兵团补贴资金严格执行兵团“总额控制、用完即止，先领取消费券、再兑付补贴”原则实施；师市补贴资金依据“同步公示发放”方式，确保补贴资金高效、规范兑付到位。</w:t>
      </w:r>
    </w:p>
    <w:p w14:paraId="19E12A12">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w:t>
      </w:r>
      <w:r>
        <w:rPr>
          <w:rFonts w:hint="eastAsia" w:ascii="Times New Roman" w:hAnsi="Times New Roman" w:eastAsia="楷体_GB2312" w:cs="楷体_GB2312"/>
          <w:sz w:val="32"/>
          <w:szCs w:val="32"/>
          <w:lang w:val="en-US" w:eastAsia="zh-CN"/>
        </w:rPr>
        <w:t>一</w:t>
      </w:r>
      <w:r>
        <w:rPr>
          <w:rFonts w:hint="eastAsia" w:ascii="Times New Roman" w:hAnsi="Times New Roman" w:eastAsia="楷体_GB2312" w:cs="楷体_GB2312"/>
          <w:sz w:val="32"/>
          <w:szCs w:val="32"/>
          <w:lang w:eastAsia="zh-CN"/>
        </w:rPr>
        <w:t>）消费券投放</w:t>
      </w:r>
      <w:r>
        <w:rPr>
          <w:rFonts w:hint="eastAsia" w:ascii="Times New Roman" w:hAnsi="Times New Roman" w:eastAsia="仿宋_GB2312" w:cs="仿宋_GB2312"/>
          <w:sz w:val="32"/>
          <w:szCs w:val="32"/>
          <w:lang w:eastAsia="zh-CN"/>
        </w:rPr>
        <w:t>。由师市住房城乡建设局负责，按月均衡向辖区投放商品住房消费券，消费券实行滚动使用；师市住建局根据每月消费券实际核销、使用情况，动态调整次月投放数量，确保供需匹配，并及时将投放数据上报兵团住房城乡建设局备案。</w:t>
      </w:r>
    </w:p>
    <w:p w14:paraId="6A670C4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w:t>
      </w:r>
      <w:r>
        <w:rPr>
          <w:rFonts w:hint="eastAsia" w:ascii="Times New Roman" w:hAnsi="Times New Roman" w:eastAsia="楷体_GB2312" w:cs="楷体_GB2312"/>
          <w:sz w:val="32"/>
          <w:szCs w:val="32"/>
          <w:lang w:val="en-US" w:eastAsia="zh-CN"/>
        </w:rPr>
        <w:t>二</w:t>
      </w:r>
      <w:r>
        <w:rPr>
          <w:rFonts w:hint="eastAsia" w:ascii="Times New Roman" w:hAnsi="Times New Roman" w:eastAsia="楷体_GB2312" w:cs="楷体_GB2312"/>
          <w:sz w:val="32"/>
          <w:szCs w:val="32"/>
          <w:lang w:eastAsia="zh-CN"/>
        </w:rPr>
        <w:t>）资金预拨。</w:t>
      </w:r>
      <w:r>
        <w:rPr>
          <w:rFonts w:hint="eastAsia" w:ascii="Times New Roman" w:hAnsi="Times New Roman" w:eastAsia="仿宋_GB2312" w:cs="仿宋_GB2312"/>
          <w:sz w:val="32"/>
          <w:szCs w:val="32"/>
          <w:lang w:eastAsia="zh-CN"/>
        </w:rPr>
        <w:t>按照兵团统一安排，由师市住房城乡建设局会同师市财政局，对接兵团住房城乡建设局、财政局完成年度补贴预算资金申领。</w:t>
      </w:r>
    </w:p>
    <w:p w14:paraId="7956043B">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val="en-US" w:eastAsia="zh-CN"/>
        </w:rPr>
        <w:t>（三）资料收集与推送。</w:t>
      </w:r>
      <w:r>
        <w:rPr>
          <w:rFonts w:hint="eastAsia" w:ascii="Times New Roman" w:hAnsi="Times New Roman" w:eastAsia="仿宋_GB2312" w:cs="仿宋_GB2312"/>
          <w:sz w:val="32"/>
          <w:szCs w:val="32"/>
          <w:lang w:eastAsia="zh-CN"/>
        </w:rPr>
        <w:t>商业银行通过线上平台收集购房人提交的申报资料，完成初步形式审核后，2个工作日内将符合要求的申请资料推送至师市住房城乡建设局。</w:t>
      </w:r>
    </w:p>
    <w:p w14:paraId="6BE66825">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val="en-US" w:eastAsia="zh-CN"/>
        </w:rPr>
        <w:t>（四）资料审核。</w:t>
      </w:r>
      <w:r>
        <w:rPr>
          <w:rFonts w:hint="eastAsia" w:ascii="Times New Roman" w:hAnsi="Times New Roman" w:eastAsia="仿宋_GB2312" w:cs="仿宋_GB2312"/>
          <w:sz w:val="32"/>
          <w:szCs w:val="32"/>
          <w:lang w:eastAsia="zh-CN"/>
        </w:rPr>
        <w:t>师市住房城乡建设局收到资料后，依托智慧住房管理服务平台核验网签备案信息真实性，5个工作日内完成申报资料的实质性审核，审核结果通过线上平台反馈至购房人及合作商业银行。</w:t>
      </w:r>
    </w:p>
    <w:p w14:paraId="77149D63">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val="en-US" w:eastAsia="zh-CN"/>
        </w:rPr>
        <w:t>（五）补贴兑付。</w:t>
      </w:r>
      <w:r>
        <w:rPr>
          <w:rFonts w:hint="eastAsia" w:ascii="Times New Roman" w:hAnsi="Times New Roman" w:eastAsia="仿宋_GB2312" w:cs="仿宋_GB2312"/>
          <w:sz w:val="32"/>
          <w:szCs w:val="32"/>
          <w:lang w:eastAsia="zh-CN"/>
        </w:rPr>
        <w:t>对审核通过的购房人，师市住房城乡建设局在10个工作日内，通过国库集中支付系统，将兵团+师市合计补贴资金一次性足额拨付至购房人预留的I类银行卡账户，同时核销对应的商品住房消费券，兑付结果同步上报兵团住房城乡建设局、财政局。</w:t>
      </w:r>
    </w:p>
    <w:p w14:paraId="4FD6B124">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val="en-US" w:eastAsia="zh-CN"/>
        </w:rPr>
        <w:t>（六）资金清算。</w:t>
      </w:r>
      <w:r>
        <w:rPr>
          <w:rFonts w:hint="eastAsia" w:ascii="Times New Roman" w:hAnsi="Times New Roman" w:eastAsia="仿宋_GB2312" w:cs="仿宋_GB2312"/>
          <w:sz w:val="32"/>
          <w:szCs w:val="32"/>
          <w:lang w:eastAsia="zh-CN"/>
        </w:rPr>
        <w:t>2026年补贴活动结束后，师市住房城乡建设局会同师市财政局，整理活动期间辖区内网签备案合同、补贴资金拨付凭证、消费券核销记录等全套资料，在15个工作日内报兵团住房城乡建设局、财政局审核；配合兵团完成补贴资金清算，按审核意见处理资金结余、补差等事宜。</w:t>
      </w:r>
    </w:p>
    <w:p w14:paraId="795A6D11">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黑体" w:cs="黑体"/>
          <w:sz w:val="32"/>
          <w:szCs w:val="32"/>
          <w:lang w:eastAsia="zh-CN"/>
        </w:rPr>
      </w:pPr>
      <w:r>
        <w:rPr>
          <w:rFonts w:hint="eastAsia" w:ascii="Times New Roman" w:hAnsi="Times New Roman" w:eastAsia="黑体" w:cs="黑体"/>
          <w:sz w:val="32"/>
          <w:szCs w:val="32"/>
          <w:lang w:eastAsia="zh-CN"/>
        </w:rPr>
        <w:t>六、保障措施</w:t>
      </w:r>
    </w:p>
    <w:p w14:paraId="7084B67A">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（一）加强组织领导，压实部门责任。</w:t>
      </w:r>
      <w:r>
        <w:rPr>
          <w:rFonts w:hint="eastAsia" w:ascii="Times New Roman" w:hAnsi="Times New Roman" w:eastAsia="仿宋_GB2312" w:cs="仿宋_GB2312"/>
          <w:sz w:val="32"/>
          <w:szCs w:val="32"/>
          <w:lang w:val="en-US" w:eastAsia="zh-CN"/>
        </w:rPr>
        <w:t>师</w:t>
      </w:r>
      <w:r>
        <w:rPr>
          <w:rFonts w:hint="eastAsia" w:ascii="Times New Roman" w:hAnsi="Times New Roman" w:eastAsia="仿宋_GB2312" w:cs="仿宋_GB2312"/>
          <w:sz w:val="32"/>
          <w:szCs w:val="32"/>
          <w:lang w:eastAsia="zh-CN"/>
        </w:rPr>
        <w:t>市住房和城乡建设局统筹负责商品住房消费补贴工作，师市相关部门密切配合，加强工作指导，提升财政补贴资金使用效率。</w:t>
      </w:r>
    </w:p>
    <w:p w14:paraId="15F5FEE8">
      <w:pPr>
        <w:keepNext w:val="0"/>
        <w:keepLines w:val="0"/>
        <w:pageBreakBefore w:val="0"/>
        <w:widowControl w:val="0"/>
        <w:kinsoku/>
        <w:wordWrap/>
        <w:overflowPunct/>
        <w:topLinePunct w:val="0"/>
        <w:autoSpaceDE/>
        <w:autoSpaceDN/>
        <w:bidi w:val="0"/>
        <w:adjustRightInd/>
        <w:snapToGrid/>
        <w:spacing w:line="56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w:t>
      </w:r>
      <w:r>
        <w:rPr>
          <w:rFonts w:hint="eastAsia" w:ascii="Times New Roman" w:hAnsi="Times New Roman" w:eastAsia="楷体_GB2312" w:cs="楷体_GB2312"/>
          <w:sz w:val="32"/>
          <w:szCs w:val="32"/>
          <w:lang w:val="en-US" w:eastAsia="zh-CN"/>
        </w:rPr>
        <w:t>二</w:t>
      </w:r>
      <w:r>
        <w:rPr>
          <w:rFonts w:hint="eastAsia" w:ascii="Times New Roman" w:hAnsi="Times New Roman" w:eastAsia="楷体_GB2312" w:cs="楷体_GB2312"/>
          <w:sz w:val="32"/>
          <w:szCs w:val="32"/>
          <w:lang w:eastAsia="zh-CN"/>
        </w:rPr>
        <w:t>）扩大参与范围，形成消费合力。</w:t>
      </w:r>
      <w:r>
        <w:rPr>
          <w:rFonts w:hint="eastAsia" w:ascii="Times New Roman" w:hAnsi="Times New Roman" w:eastAsia="仿宋_GB2312" w:cs="仿宋_GB2312"/>
          <w:sz w:val="32"/>
          <w:szCs w:val="32"/>
          <w:lang w:eastAsia="zh-CN"/>
        </w:rPr>
        <w:t>鼓励引导辖区内房地产开发企业在补贴活动期间，开展房价优惠、车位赠送、物业费减免等让利活动；联动</w:t>
      </w:r>
      <w:r>
        <w:rPr>
          <w:rFonts w:hint="eastAsia" w:ascii="Times New Roman" w:hAnsi="Times New Roman" w:eastAsia="仿宋_GB2312" w:cs="仿宋_GB2312"/>
          <w:sz w:val="32"/>
          <w:szCs w:val="32"/>
          <w:lang w:val="en-US" w:eastAsia="zh-CN"/>
        </w:rPr>
        <w:t>师市商务局组织</w:t>
      </w:r>
      <w:r>
        <w:rPr>
          <w:rFonts w:hint="eastAsia" w:ascii="Times New Roman" w:hAnsi="Times New Roman" w:eastAsia="仿宋_GB2312" w:cs="仿宋_GB2312"/>
          <w:sz w:val="32"/>
          <w:szCs w:val="32"/>
          <w:lang w:eastAsia="zh-CN"/>
        </w:rPr>
        <w:t>辖区内家电销售企业、建材市场、家装公司等商户，同步开展降价、满减、赠送等促销活动，推出“购房+家装+家电”一站式优惠套餐，形成“购房带动消费”的良性循环。</w:t>
      </w:r>
    </w:p>
    <w:p w14:paraId="21696888">
      <w:pPr>
        <w:keepNext w:val="0"/>
        <w:keepLines w:val="0"/>
        <w:pageBreakBefore w:val="0"/>
        <w:widowControl w:val="0"/>
        <w:numPr>
          <w:ilvl w:val="0"/>
          <w:numId w:val="0"/>
        </w:numPr>
        <w:kinsoku/>
        <w:wordWrap/>
        <w:overflowPunct/>
        <w:topLinePunct w:val="0"/>
        <w:autoSpaceDE/>
        <w:autoSpaceDN/>
        <w:bidi w:val="0"/>
        <w:adjustRightInd/>
        <w:snapToGrid/>
        <w:spacing w:line="560" w:lineRule="exact"/>
        <w:ind w:left="420" w:leftChars="200" w:firstLine="0" w:firstLineChars="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kern w:val="2"/>
          <w:sz w:val="32"/>
          <w:szCs w:val="32"/>
          <w:lang w:val="en-US" w:eastAsia="zh-CN" w:bidi="ar-SA"/>
        </w:rPr>
        <w:t>（三）</w:t>
      </w:r>
      <w:r>
        <w:rPr>
          <w:rFonts w:hint="eastAsia" w:ascii="Times New Roman" w:hAnsi="Times New Roman" w:eastAsia="楷体_GB2312" w:cs="楷体_GB2312"/>
          <w:sz w:val="32"/>
          <w:szCs w:val="32"/>
          <w:lang w:eastAsia="zh-CN"/>
        </w:rPr>
        <w:t>加大符合优惠安置政策职工购买商品住房的帮办力度。</w:t>
      </w:r>
      <w:r>
        <w:rPr>
          <w:rFonts w:hint="eastAsia" w:ascii="Times New Roman" w:hAnsi="Times New Roman" w:eastAsia="仿宋_GB2312" w:cs="仿宋_GB2312"/>
          <w:sz w:val="32"/>
          <w:szCs w:val="32"/>
          <w:lang w:eastAsia="zh-CN"/>
        </w:rPr>
        <w:t>对有意愿购买昆玉市辖区商品住房的职工，由师市住建局进行帮办，其他有商品住房开发的团场（镇），由相应团场（镇）的城镇和生态保护中心进行帮办，畅通优惠安置政策资金兑现流程。通过组团式购买商品住房，形成优惠安置政策与商品住房消费补贴政策叠加效应。</w:t>
      </w:r>
    </w:p>
    <w:p w14:paraId="34FE8FF0">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仿宋_GB2312" w:cs="仿宋_GB2312"/>
          <w:sz w:val="32"/>
          <w:szCs w:val="32"/>
          <w:lang w:eastAsia="zh-CN"/>
        </w:rPr>
      </w:pPr>
      <w:r>
        <w:rPr>
          <w:rFonts w:hint="eastAsia" w:ascii="Times New Roman" w:hAnsi="Times New Roman" w:eastAsia="楷体_GB2312" w:cs="楷体_GB2312"/>
          <w:sz w:val="32"/>
          <w:szCs w:val="32"/>
          <w:lang w:eastAsia="zh-CN"/>
        </w:rPr>
        <w:t>（四）加大宣传力度，提高政策知晓率。</w:t>
      </w:r>
      <w:r>
        <w:rPr>
          <w:rFonts w:hint="eastAsia" w:ascii="Times New Roman" w:hAnsi="Times New Roman" w:eastAsia="仿宋_GB2312" w:cs="仿宋_GB2312"/>
          <w:sz w:val="32"/>
          <w:szCs w:val="32"/>
          <w:lang w:eastAsia="zh-CN"/>
        </w:rPr>
        <w:t>整合师市官网、官方微信公众号、抖音等新媒体平台，以及团场宣传栏、连队广播、线下售楼处等线下渠道，多形式、多维度宣传本次补贴政策，明确补贴标准、申请条件、办理流程及时间节点。制作政策解读手册、操作指引短视频，安排专人在售楼处、政务服务大厅提供政策咨询服务，确保职工群众 “看得懂、会申请、能享受”，提升政策参与度。</w:t>
      </w:r>
    </w:p>
    <w:p w14:paraId="0978A578">
      <w:pPr>
        <w:keepNext w:val="0"/>
        <w:keepLines w:val="0"/>
        <w:pageBreakBefore w:val="0"/>
        <w:widowControl w:val="0"/>
        <w:kinsoku/>
        <w:wordWrap/>
        <w:overflowPunct/>
        <w:topLinePunct w:val="0"/>
        <w:autoSpaceDE/>
        <w:autoSpaceDN/>
        <w:bidi w:val="0"/>
        <w:adjustRightInd/>
        <w:snapToGrid/>
        <w:spacing w:line="540" w:lineRule="exact"/>
        <w:ind w:firstLine="640" w:firstLineChars="200"/>
        <w:textAlignment w:val="auto"/>
        <w:rPr>
          <w:rFonts w:hint="eastAsia" w:ascii="Times New Roman" w:hAnsi="Times New Roman" w:eastAsiaTheme="minorEastAsia" w:cstheme="minorBidi"/>
          <w:sz w:val="21"/>
          <w:szCs w:val="24"/>
          <w:lang w:eastAsia="zh-CN"/>
        </w:rPr>
      </w:pPr>
      <w:r>
        <w:rPr>
          <w:rFonts w:hint="eastAsia" w:ascii="Times New Roman" w:hAnsi="Times New Roman" w:eastAsia="楷体_GB2312" w:cs="楷体_GB2312"/>
          <w:sz w:val="32"/>
          <w:szCs w:val="32"/>
          <w:lang w:eastAsia="zh-CN"/>
        </w:rPr>
        <w:t>（五）严格监督检查，规范资金使用。</w:t>
      </w:r>
      <w:r>
        <w:rPr>
          <w:rFonts w:hint="eastAsia" w:ascii="Times New Roman" w:hAnsi="Times New Roman" w:eastAsia="仿宋_GB2312" w:cs="仿宋_GB2312"/>
          <w:sz w:val="32"/>
          <w:szCs w:val="32"/>
          <w:lang w:val="en-US" w:eastAsia="zh-CN"/>
        </w:rPr>
        <w:t>师市住建局严格把关申报材料审核，坚决防范通过虚假交易、弄虚作假等不正当手段骗取、套取补贴资金行为。师市审计、财政部门应强化资金使用情况的监督核查，确保政策执行到位、资金使用规范。</w:t>
      </w:r>
    </w:p>
    <w:p w14:paraId="220B7306">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Theme="minorEastAsia" w:cstheme="minorBidi"/>
          <w:sz w:val="21"/>
          <w:szCs w:val="24"/>
          <w:lang w:eastAsia="zh-CN"/>
        </w:rPr>
      </w:pPr>
      <w:r>
        <w:rPr>
          <w:rFonts w:hint="eastAsia" w:ascii="Times New Roman" w:hAnsi="Times New Roman" w:eastAsia="仿宋_GB2312" w:cs="仿宋_GB2312"/>
          <w:b/>
          <w:bCs/>
          <w:sz w:val="32"/>
          <w:szCs w:val="32"/>
          <w:lang w:val="en-US" w:eastAsia="zh-CN"/>
        </w:rPr>
        <w:t>一是</w:t>
      </w:r>
      <w:r>
        <w:rPr>
          <w:rFonts w:hint="eastAsia" w:ascii="Times New Roman" w:hAnsi="Times New Roman" w:eastAsia="仿宋_GB2312" w:cs="仿宋_GB2312"/>
          <w:sz w:val="32"/>
          <w:szCs w:val="32"/>
          <w:lang w:val="en-US" w:eastAsia="zh-CN"/>
        </w:rPr>
        <w:t>严格</w:t>
      </w:r>
      <w:r>
        <w:rPr>
          <w:rFonts w:hint="eastAsia" w:ascii="Times New Roman" w:hAnsi="Times New Roman" w:eastAsia="仿宋_GB2312" w:cs="仿宋_GB2312"/>
          <w:sz w:val="32"/>
          <w:szCs w:val="32"/>
          <w:lang w:eastAsia="zh-CN"/>
        </w:rPr>
        <w:t>资料审核。师市住建局对购房人申报资料实行双重审核，依托新疆智慧住房管理服务平台严格核验网签备案信息，坚决遏制虚假交易、弄虚作假骗取补贴资金等行为。</w:t>
      </w:r>
    </w:p>
    <w:p w14:paraId="6E1FB9F8">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eastAsia" w:ascii="Times New Roman" w:hAnsi="Times New Roman" w:eastAsiaTheme="minorEastAsia" w:cstheme="minorBidi"/>
          <w:sz w:val="21"/>
          <w:szCs w:val="24"/>
          <w:lang w:eastAsia="zh-CN"/>
        </w:rPr>
      </w:pPr>
      <w:r>
        <w:rPr>
          <w:rFonts w:hint="eastAsia" w:ascii="Times New Roman" w:hAnsi="Times New Roman" w:eastAsia="仿宋_GB2312" w:cs="仿宋_GB2312"/>
          <w:b/>
          <w:bCs/>
          <w:sz w:val="32"/>
          <w:szCs w:val="32"/>
          <w:lang w:val="en-US" w:eastAsia="zh-CN"/>
        </w:rPr>
        <w:t>二是</w:t>
      </w:r>
      <w:r>
        <w:rPr>
          <w:rFonts w:hint="eastAsia" w:ascii="Times New Roman" w:hAnsi="Times New Roman" w:eastAsia="仿宋_GB2312" w:cs="仿宋_GB2312"/>
          <w:sz w:val="32"/>
          <w:szCs w:val="32"/>
          <w:lang w:val="en-US" w:eastAsia="zh-CN"/>
        </w:rPr>
        <w:t>畅通社会监督。师市住房城乡建设局向社会公开政策咨询及投诉举报电话，主动接受职工群众监督；对群众举报线索及时核查查处，并将结果向社会公布。</w:t>
      </w:r>
    </w:p>
    <w:p w14:paraId="751550DC">
      <w:pPr>
        <w:keepNext w:val="0"/>
        <w:keepLines w:val="0"/>
        <w:pageBreakBefore w:val="0"/>
        <w:widowControl w:val="0"/>
        <w:kinsoku/>
        <w:wordWrap/>
        <w:overflowPunct/>
        <w:topLinePunct w:val="0"/>
        <w:autoSpaceDE/>
        <w:autoSpaceDN/>
        <w:bidi w:val="0"/>
        <w:adjustRightInd/>
        <w:snapToGrid/>
        <w:spacing w:line="540" w:lineRule="exact"/>
        <w:ind w:firstLine="643" w:firstLineChars="200"/>
        <w:textAlignment w:val="auto"/>
        <w:rPr>
          <w:rFonts w:hint="default" w:ascii="仿宋_GB2312" w:hAnsi="仿宋_GB2312" w:eastAsia="仿宋_GB2312" w:cs="仿宋_GB2312"/>
          <w:sz w:val="32"/>
          <w:szCs w:val="32"/>
          <w:lang w:val="en-US" w:eastAsia="zh-CN"/>
        </w:rPr>
      </w:pPr>
      <w:r>
        <w:rPr>
          <w:rFonts w:hint="eastAsia" w:ascii="Times New Roman" w:hAnsi="Times New Roman" w:eastAsia="仿宋_GB2312" w:cs="仿宋_GB2312"/>
          <w:b/>
          <w:bCs/>
          <w:sz w:val="32"/>
          <w:szCs w:val="32"/>
          <w:lang w:val="en-US" w:eastAsia="zh-CN"/>
        </w:rPr>
        <w:t>三是</w:t>
      </w:r>
      <w:r>
        <w:rPr>
          <w:rFonts w:hint="eastAsia" w:ascii="Times New Roman" w:hAnsi="Times New Roman" w:eastAsia="仿宋_GB2312" w:cs="仿宋_GB2312"/>
          <w:sz w:val="32"/>
          <w:szCs w:val="32"/>
          <w:lang w:val="en-US" w:eastAsia="zh-CN"/>
        </w:rPr>
        <w:t>严肃查处违规行为。依法</w:t>
      </w:r>
      <w:r>
        <w:rPr>
          <w:rFonts w:hint="eastAsia" w:ascii="Times New Roman" w:hAnsi="Times New Roman" w:eastAsia="仿宋_GB2312" w:cs="仿宋_GB2312"/>
          <w:sz w:val="32"/>
          <w:szCs w:val="32"/>
          <w:lang w:eastAsia="zh-CN"/>
        </w:rPr>
        <w:t>严厉打击房地产企业虚假优惠、与购房人串通套取补贴资金等行为，一经查实，立即追回补贴资金，取消房企参与活动资格，并将相关信息纳入企业信用档案；对拒不退回套取资金的，不予办理网签合同撤销手续。对在补贴资金发放过程中存在弄虚作假、挪用、冒领、套取等行为的单位或个人，严格依照《财政违法行为处罚处分条例》等国家有关规定追究相应责任。</w:t>
      </w:r>
    </w:p>
    <w:p w14:paraId="658D382C"/>
    <w:sectPr>
      <w:footerReference r:id="rId3" w:type="default"/>
      <w:pgSz w:w="11906" w:h="16838"/>
      <w:pgMar w:top="2098" w:right="1531" w:bottom="1984" w:left="1531" w:header="851" w:footer="992" w:gutter="0"/>
      <w:pgNumType w:fmt="decimal" w:start="1"/>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30"/>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方正小标宋简体">
    <w:panose1 w:val="03000509000000000000"/>
    <w:charset w:val="86"/>
    <w:family w:val="auto"/>
    <w:pitch w:val="default"/>
    <w:sig w:usb0="00000001" w:usb1="080E0000" w:usb2="00000000" w:usb3="00000000" w:csb0="00040000" w:csb1="00000000"/>
  </w:font>
  <w:font w:name="仿宋_GB2312">
    <w:panose1 w:val="02010609030101010101"/>
    <w:charset w:val="86"/>
    <w:family w:val="auto"/>
    <w:pitch w:val="default"/>
    <w:sig w:usb0="00000001" w:usb1="080E0000" w:usb2="00000000" w:usb3="00000000" w:csb0="00040000" w:csb1="00000000"/>
  </w:font>
  <w:font w:name="楷体_GB2312">
    <w:panose1 w:val="02010609030101010101"/>
    <w:charset w:val="86"/>
    <w:family w:val="auto"/>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AA37F36">
    <w:pPr>
      <w:pStyle w:val="2"/>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-114300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32C766C2">
                          <w:pPr>
                            <w:pStyle w:val="2"/>
                            <w:jc w:val="left"/>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9pt;height:144pt;width:144pt;mso-position-horizontal:center;mso-position-horizontal-relative:margin;mso-wrap-style:none;z-index:251659264;mso-width-relative:page;mso-height-relative:page;" filled="f" stroked="f" coordsize="21600,21600" o:gfxdata="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">
              <v:fill on="f" focussize="0,0"/>
              <v:stroke on="f" weight="0.5pt"/>
              <v:imagedata o:title=""/>
              <o:lock v:ext="edit" aspectratio="f"/>
              <v:textbox inset="0mm,0mm,0mm,0mm" style="mso-fit-shape-to-text:t;">
                <w:txbxContent>
                  <w:p w14:paraId="32C766C2">
                    <w:pPr>
                      <w:pStyle w:val="2"/>
                      <w:jc w:val="left"/>
                    </w:pPr>
                    <w:r>
                      <w:rPr>
                        <w:rFonts w:hint="eastAsia" w:asciiTheme="minorEastAsia" w:hAnsiTheme="minorEastAsia" w:eastAsiaTheme="minorEastAsia" w:cstheme="minorEastAsia"/>
                        <w:sz w:val="28"/>
                        <w:szCs w:val="28"/>
                      </w:rPr>
                      <w:t xml:space="preserve">— </w:t>
                    </w:r>
                    <w:r>
                      <w:rPr>
                        <w:rFonts w:hint="eastAsia" w:asciiTheme="minorEastAsia" w:hAnsiTheme="minorEastAsia" w:eastAsiaTheme="minorEastAsia" w:cstheme="minorEastAsia"/>
                        <w:sz w:val="28"/>
                        <w:szCs w:val="28"/>
                      </w:rPr>
                      <w:fldChar w:fldCharType="begin"/>
                    </w:r>
                    <w:r>
                      <w:rPr>
                        <w:rFonts w:hint="eastAsia" w:asciiTheme="minorEastAsia" w:hAnsiTheme="minorEastAsia" w:eastAsiaTheme="minorEastAsia" w:cstheme="minorEastAsia"/>
                        <w:sz w:val="28"/>
                        <w:szCs w:val="28"/>
                      </w:rPr>
                      <w:instrText xml:space="preserve"> PAGE  \* MERGEFORMAT </w:instrText>
                    </w:r>
                    <w:r>
                      <w:rPr>
                        <w:rFonts w:hint="eastAsia" w:asciiTheme="minorEastAsia" w:hAnsiTheme="minorEastAsia" w:eastAsiaTheme="minorEastAsia" w:cstheme="minorEastAsia"/>
                        <w:sz w:val="28"/>
                        <w:szCs w:val="28"/>
                      </w:rPr>
                      <w:fldChar w:fldCharType="separate"/>
                    </w:r>
                    <w:r>
                      <w:rPr>
                        <w:rFonts w:hint="eastAsia" w:asciiTheme="minorEastAsia" w:hAnsiTheme="minorEastAsia" w:eastAsiaTheme="minorEastAsia" w:cstheme="minorEastAsia"/>
                        <w:sz w:val="28"/>
                        <w:szCs w:val="28"/>
                      </w:rPr>
                      <w:t>1</w:t>
                    </w:r>
                    <w:r>
                      <w:rPr>
                        <w:rFonts w:hint="eastAsia" w:asciiTheme="minorEastAsia" w:hAnsiTheme="minorEastAsia" w:eastAsiaTheme="minorEastAsia" w:cstheme="minorEastAsia"/>
                        <w:sz w:val="28"/>
                        <w:szCs w:val="28"/>
                      </w:rPr>
                      <w:fldChar w:fldCharType="end"/>
                    </w:r>
                    <w:r>
                      <w:rPr>
                        <w:rFonts w:hint="eastAsia" w:asciiTheme="minorEastAsia" w:hAnsiTheme="minorEastAsia" w:eastAsiaTheme="minorEastAsia" w:cstheme="minorEastAsia"/>
                        <w:sz w:val="28"/>
                        <w:szCs w:val="28"/>
                      </w:rPr>
                      <w:t xml:space="preserve"> —</w:t>
                    </w:r>
                  </w:p>
                </w:txbxContent>
              </v:textbox>
            </v:shape>
          </w:pict>
        </mc:Fallback>
      </mc:AlternateContent>
    </w: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7AA14184"/>
    <w:rsid w:val="6D4E2B86"/>
    <w:rsid w:val="7AA14184"/>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4">
    <w:name w:val="Default Paragraph Font"/>
    <w:semiHidden/>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WPS">
  <a:themeElements>
    <a:clrScheme name="WPS">
      <a:dk1>
        <a:sysClr val="windowText" lastClr="000000"/>
      </a:dk1>
      <a:lt1>
        <a:sysClr val="window" lastClr="FFFFFF"/>
      </a:lt1>
      <a:dk2>
        <a:srgbClr val="44546A"/>
      </a:dk2>
      <a:lt2>
        <a:srgbClr val="E7E6E6"/>
      </a:lt2>
      <a:accent1>
        <a:srgbClr val="4874CB"/>
      </a:accent1>
      <a:accent2>
        <a:srgbClr val="EE822F"/>
      </a:accent2>
      <a:accent3>
        <a:srgbClr val="F2BA02"/>
      </a:accent3>
      <a:accent4>
        <a:srgbClr val="75BD42"/>
      </a:accent4>
      <a:accent5>
        <a:srgbClr val="30C0B4"/>
      </a:accent5>
      <a:accent6>
        <a:srgbClr val="E54C5E"/>
      </a:accent6>
      <a:hlink>
        <a:srgbClr val="0026E5"/>
      </a:hlink>
      <a:folHlink>
        <a:srgbClr val="7E1FAD"/>
      </a:folHlink>
    </a:clrScheme>
    <a:fontScheme name="WPS">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WPS">
      <a:fillStyleLst>
        <a:solidFill>
          <a:schemeClr val="phClr"/>
        </a:solidFill>
        <a:gradFill>
          <a:gsLst>
            <a:gs pos="0">
              <a:schemeClr val="phClr">
                <a:lumOff val="17500"/>
              </a:schemeClr>
            </a:gs>
            <a:gs pos="100000">
              <a:schemeClr val="phClr"/>
            </a:gs>
          </a:gsLst>
          <a:lin ang="2700000" scaled="0"/>
        </a:gradFill>
        <a:gradFill>
          <a:gsLst>
            <a:gs pos="0">
              <a:schemeClr val="phClr">
                <a:hueOff val="-2520000"/>
              </a:schemeClr>
            </a:gs>
            <a:gs pos="100000">
              <a:schemeClr val="phClr"/>
            </a:gs>
          </a:gsLst>
          <a:lin ang="2700000" scaled="0"/>
        </a:gradFill>
      </a:fillStyleLst>
      <a:lnStyleLst>
        <a:ln w="12700" cap="flat" cmpd="sng" algn="ctr">
          <a:solidFill>
            <a:schemeClr val="phClr"/>
          </a:solidFill>
          <a:prstDash val="solid"/>
          <a:miter lim="800000"/>
        </a:ln>
        <a:ln w="12700" cap="flat" cmpd="sng" algn="ctr">
          <a:solidFill>
            <a:schemeClr val="phClr"/>
          </a:solidFill>
          <a:prstDash val="solid"/>
          <a:miter lim="800000"/>
        </a:ln>
        <a:ln w="12700" cap="flat" cmpd="sng" algn="ctr">
          <a:gradFill>
            <a:gsLst>
              <a:gs pos="0">
                <a:schemeClr val="phClr">
                  <a:hueOff val="-4200000"/>
                </a:schemeClr>
              </a:gs>
              <a:gs pos="100000">
                <a:schemeClr val="phClr"/>
              </a:gs>
            </a:gsLst>
            <a:lin ang="2700000" scaled="1"/>
          </a:gradFill>
          <a:prstDash val="solid"/>
          <a:miter lim="800000"/>
        </a:ln>
      </a:lnStyleLst>
      <a:effectStyleLst>
        <a:effectStyle>
          <a:effectLst>
            <a:outerShdw blurRad="101600" dist="50800" dir="5400000" algn="ctr" rotWithShape="0">
              <a:schemeClr val="phClr">
                <a:alpha val="60000"/>
              </a:schemeClr>
            </a:outerShdw>
          </a:effectLst>
        </a:effectStyle>
        <a:effectStyle>
          <a:effectLst>
            <a:reflection stA="50000" endA="300" endPos="40000" dist="25400" dir="5400000" sy="-100000" algn="bl" rotWithShape="0"/>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6</Pages>
  <Words>0</Words>
  <Characters>0</Characters>
  <Lines>0</Lines>
  <Paragraphs>0</Paragraphs>
  <TotalTime>0</TotalTime>
  <ScaleCrop>false</ScaleCrop>
  <LinksUpToDate>false</LinksUpToDate>
  <CharactersWithSpaces>0</CharactersWithSpaces>
  <Application>WPS Office_12.1.0.21171_F1E327BC-269C-435d-A152-05C5408002CA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2026-03-09T03:19:00Z</dcterms:created>
  <dc:creator>十四师政务网</dc:creator>
  <cp:lastModifiedBy>十四师政务网</cp:lastModifiedBy>
  <dcterms:modified xsi:type="dcterms:W3CDTF">2026-03-09T03:20:23Z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2052-12.1.0.21171</vt:lpwstr>
  </property>
  <property fmtid="{D5CDD505-2E9C-101B-9397-08002B2CF9AE}" pid="3" name="ICV">
    <vt:lpwstr>05932AA7D37B4AE49A00B2FBC56F832C_13</vt:lpwstr>
  </property>
  <property fmtid="{D5CDD505-2E9C-101B-9397-08002B2CF9AE}" pid="4" name="KSOTemplateDocerSaveRecord">
    <vt:lpwstr>eyJoZGlkIjoiNjNkMTQ3MDZjZDQwOGM4ZTVjY2I5OTgzNjVmYmVlZmQiLCJ1c2VySWQiOiIxNjU2NTU0MjE4In0=</vt:lpwstr>
  </property>
</Properties>
</file>