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49"/>
        <w:ind w:right="4302"/>
        <w:jc w:val="center"/>
        <w:rPr>
          <w:rFonts w:hint="eastAsia" w:ascii="方正小标宋简体" w:hAnsi="方正小标宋简体" w:eastAsia="方正小标宋简体" w:cs="方正小标宋简体"/>
          <w:w w:val="105"/>
          <w:sz w:val="20"/>
          <w:szCs w:val="20"/>
        </w:rPr>
      </w:pPr>
      <w:r>
        <w:rPr>
          <w:rFonts w:hint="eastAsia" w:cs="方正小标宋简体"/>
          <w:w w:val="105"/>
          <w:sz w:val="20"/>
          <w:szCs w:val="20"/>
          <w:lang w:val="en-US" w:eastAsia="zh-CN"/>
        </w:rPr>
        <w:t xml:space="preserve">                                                                </w:t>
      </w:r>
      <w:r>
        <w:rPr>
          <w:rFonts w:hint="eastAsia" w:ascii="方正小标宋简体" w:hAnsi="方正小标宋简体" w:eastAsia="方正小标宋简体" w:cs="方正小标宋简体"/>
          <w:w w:val="105"/>
          <w:sz w:val="20"/>
          <w:szCs w:val="20"/>
        </w:rPr>
        <w:t>涉企行政检查计划</w:t>
      </w:r>
    </w:p>
    <w:tbl>
      <w:tblPr>
        <w:tblStyle w:val="3"/>
        <w:tblpPr w:leftFromText="180" w:rightFromText="180" w:vertAnchor="text" w:horzAnchor="page" w:tblpX="778" w:tblpY="146"/>
        <w:tblOverlap w:val="never"/>
        <w:tblW w:w="102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8"/>
        <w:gridCol w:w="1744"/>
        <w:gridCol w:w="1531"/>
        <w:gridCol w:w="1367"/>
        <w:gridCol w:w="1113"/>
        <w:gridCol w:w="804"/>
        <w:gridCol w:w="803"/>
        <w:gridCol w:w="823"/>
        <w:gridCol w:w="636"/>
        <w:gridCol w:w="9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</w:trPr>
        <w:tc>
          <w:tcPr>
            <w:tcW w:w="478" w:type="dxa"/>
            <w:vMerge w:val="restart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序号</w:t>
            </w:r>
          </w:p>
        </w:tc>
        <w:tc>
          <w:tcPr>
            <w:tcW w:w="3275" w:type="dxa"/>
            <w:gridSpan w:val="2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检查事项</w:t>
            </w:r>
          </w:p>
        </w:tc>
        <w:tc>
          <w:tcPr>
            <w:tcW w:w="1367" w:type="dxa"/>
            <w:vMerge w:val="restart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检查对象（范围）</w:t>
            </w:r>
          </w:p>
        </w:tc>
        <w:tc>
          <w:tcPr>
            <w:tcW w:w="1113" w:type="dxa"/>
            <w:vMerge w:val="restart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检查对象基数</w:t>
            </w:r>
          </w:p>
        </w:tc>
        <w:tc>
          <w:tcPr>
            <w:tcW w:w="804" w:type="dxa"/>
            <w:vMerge w:val="restart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检查比例</w:t>
            </w:r>
          </w:p>
        </w:tc>
        <w:tc>
          <w:tcPr>
            <w:tcW w:w="803" w:type="dxa"/>
            <w:vMerge w:val="restart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检查方式</w:t>
            </w:r>
          </w:p>
        </w:tc>
        <w:tc>
          <w:tcPr>
            <w:tcW w:w="823" w:type="dxa"/>
            <w:vMerge w:val="restart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检查时间</w:t>
            </w:r>
          </w:p>
        </w:tc>
        <w:tc>
          <w:tcPr>
            <w:tcW w:w="1597" w:type="dxa"/>
            <w:gridSpan w:val="2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检查主体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 w:hRule="atLeast"/>
        </w:trPr>
        <w:tc>
          <w:tcPr>
            <w:tcW w:w="478" w:type="dxa"/>
            <w:vMerge w:val="continue"/>
            <w:tcBorders>
              <w:top w:val="nil"/>
            </w:tcBorders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检查类别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事项名称</w:t>
            </w:r>
          </w:p>
        </w:tc>
        <w:tc>
          <w:tcPr>
            <w:tcW w:w="1367" w:type="dxa"/>
            <w:vMerge w:val="continue"/>
            <w:tcBorders>
              <w:top w:val="nil"/>
            </w:tcBorders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</w:tc>
        <w:tc>
          <w:tcPr>
            <w:tcW w:w="1113" w:type="dxa"/>
            <w:vMerge w:val="continue"/>
            <w:tcBorders>
              <w:top w:val="nil"/>
            </w:tcBorders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</w:tc>
        <w:tc>
          <w:tcPr>
            <w:tcW w:w="804" w:type="dxa"/>
            <w:vMerge w:val="continue"/>
            <w:tcBorders>
              <w:top w:val="nil"/>
            </w:tcBorders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</w:tc>
        <w:tc>
          <w:tcPr>
            <w:tcW w:w="803" w:type="dxa"/>
            <w:vMerge w:val="continue"/>
            <w:tcBorders>
              <w:top w:val="nil"/>
            </w:tcBorders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</w:tc>
        <w:tc>
          <w:tcPr>
            <w:tcW w:w="823" w:type="dxa"/>
            <w:vMerge w:val="continue"/>
            <w:tcBorders>
              <w:top w:val="nil"/>
            </w:tcBorders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实施层级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w w:val="105"/>
                <w:sz w:val="11"/>
              </w:rPr>
            </w:pPr>
            <w:r>
              <w:rPr>
                <w:rFonts w:hint="default" w:ascii="Times New Roman" w:hAnsi="Times New Roman" w:cs="Times New Roman"/>
                <w:w w:val="105"/>
                <w:sz w:val="11"/>
              </w:rPr>
              <w:t>主体单位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478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1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3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15"/>
              <w:jc w:val="center"/>
              <w:textAlignment w:val="auto"/>
              <w:rPr>
                <w:rFonts w:hint="default" w:ascii="Times New Roman" w:hAnsi="Times New Roman" w:cs="Times New Roman"/>
                <w:sz w:val="9"/>
              </w:rPr>
            </w:pPr>
            <w:r>
              <w:rPr>
                <w:rFonts w:hint="default" w:ascii="Times New Roman" w:hAnsi="Times New Roman" w:cs="Times New Roman"/>
                <w:w w:val="103"/>
                <w:sz w:val="9"/>
              </w:rPr>
              <w:t>1</w:t>
            </w:r>
          </w:p>
        </w:tc>
        <w:tc>
          <w:tcPr>
            <w:tcW w:w="1744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8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4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40" w:hanging="10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承检方按通知要求，制定林木种苗抽查方案，报经下达任务单位批准后按相关标准进行检查。</w:t>
            </w:r>
          </w:p>
        </w:tc>
        <w:tc>
          <w:tcPr>
            <w:tcW w:w="1531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7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3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63" w:right="35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对种子生产、经营进行检查</w:t>
            </w:r>
          </w:p>
        </w:tc>
        <w:tc>
          <w:tcPr>
            <w:tcW w:w="1367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8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1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383" w:right="215" w:hanging="137"/>
              <w:jc w:val="center"/>
              <w:textAlignment w:val="auto"/>
              <w:rPr>
                <w:rFonts w:hint="default" w:ascii="Times New Roman" w:hAnsi="Times New Roman" w:cs="Times New Roman"/>
                <w:sz w:val="9"/>
              </w:rPr>
            </w:pPr>
            <w:r>
              <w:rPr>
                <w:rFonts w:hint="default" w:ascii="Times New Roman" w:hAnsi="Times New Roman" w:cs="Times New Roman"/>
                <w:sz w:val="9"/>
              </w:rPr>
              <w:t>苗木种子类企业或</w:t>
            </w:r>
            <w:r>
              <w:rPr>
                <w:rFonts w:hint="default" w:ascii="Times New Roman" w:hAnsi="Times New Roman" w:cs="Times New Roman"/>
                <w:w w:val="105"/>
                <w:sz w:val="9"/>
              </w:rPr>
              <w:t>个体工商户</w:t>
            </w:r>
          </w:p>
        </w:tc>
        <w:tc>
          <w:tcPr>
            <w:tcW w:w="111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6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3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10"/>
                <w:lang w:val="en-US" w:eastAsia="zh-CN"/>
              </w:rPr>
              <w:t>4</w:t>
            </w:r>
          </w:p>
        </w:tc>
        <w:tc>
          <w:tcPr>
            <w:tcW w:w="804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6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3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55" w:right="36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10"/>
              </w:rPr>
              <w:t>%</w:t>
            </w:r>
          </w:p>
        </w:tc>
        <w:tc>
          <w:tcPr>
            <w:tcW w:w="80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8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8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2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7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57" w:right="36"/>
              <w:jc w:val="center"/>
              <w:textAlignment w:val="auto"/>
              <w:rPr>
                <w:rFonts w:hint="default" w:ascii="Times New Roman" w:hAnsi="Times New Roman" w:cs="Times New Roman"/>
                <w:sz w:val="9"/>
              </w:rPr>
            </w:pPr>
            <w:r>
              <w:rPr>
                <w:rFonts w:hint="default" w:ascii="Times New Roman" w:hAnsi="Times New Roman" w:cs="Times New Roman"/>
                <w:w w:val="105"/>
                <w:sz w:val="9"/>
              </w:rPr>
              <w:t>现场检查</w:t>
            </w:r>
          </w:p>
        </w:tc>
        <w:tc>
          <w:tcPr>
            <w:tcW w:w="82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w w:val="100"/>
                <w:sz w:val="8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w w:val="100"/>
                <w:sz w:val="8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w w:val="100"/>
                <w:sz w:val="7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w w:val="100"/>
                <w:sz w:val="9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w w:val="100"/>
                <w:sz w:val="9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w w:val="100"/>
                <w:sz w:val="9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/>
                <w:w w:val="100"/>
                <w:sz w:val="9"/>
                <w:lang w:val="en-US" w:eastAsia="zh-CN"/>
              </w:rPr>
              <w:t>月</w:t>
            </w:r>
            <w:r>
              <w:rPr>
                <w:rFonts w:hint="default" w:ascii="Times New Roman" w:hAnsi="Times New Roman" w:cs="Times New Roman"/>
                <w:w w:val="100"/>
                <w:sz w:val="9"/>
                <w:lang w:val="en-US" w:eastAsia="zh-CN"/>
              </w:rPr>
              <w:t>、12月</w:t>
            </w:r>
          </w:p>
        </w:tc>
        <w:tc>
          <w:tcPr>
            <w:tcW w:w="636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7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3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15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兵、师、团</w:t>
            </w:r>
          </w:p>
        </w:tc>
        <w:tc>
          <w:tcPr>
            <w:tcW w:w="961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7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3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69" w:right="36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师林业和草原局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478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2</w:t>
            </w:r>
          </w:p>
        </w:tc>
        <w:tc>
          <w:tcPr>
            <w:tcW w:w="1744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承检方按通知要求，制定林木种子监督抽查方案，报经下达任务单位批准后按相关标准进行检查，承检方在收到被检查单位或个人的书面意见后在10日内作出书面答复。</w:t>
            </w:r>
          </w:p>
        </w:tc>
        <w:tc>
          <w:tcPr>
            <w:tcW w:w="1531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林木种子质量监督管理</w:t>
            </w:r>
          </w:p>
        </w:tc>
        <w:tc>
          <w:tcPr>
            <w:tcW w:w="1367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苗木种子类企业或个体工商户</w:t>
            </w:r>
          </w:p>
        </w:tc>
        <w:tc>
          <w:tcPr>
            <w:tcW w:w="111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0"/>
                <w:lang w:val="en-US" w:eastAsia="zh-CN"/>
              </w:rPr>
              <w:t>4</w:t>
            </w:r>
          </w:p>
        </w:tc>
        <w:tc>
          <w:tcPr>
            <w:tcW w:w="804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9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/>
                <w:sz w:val="9"/>
                <w:lang w:val="en-US" w:eastAsia="zh-CN"/>
              </w:rPr>
              <w:t>月</w:t>
            </w:r>
            <w:r>
              <w:rPr>
                <w:rFonts w:hint="default" w:ascii="Times New Roman" w:hAnsi="Times New Roman" w:cs="Times New Roman"/>
                <w:sz w:val="9"/>
                <w:lang w:val="en-US" w:eastAsia="zh-CN"/>
              </w:rPr>
              <w:t>、12月</w:t>
            </w:r>
          </w:p>
        </w:tc>
        <w:tc>
          <w:tcPr>
            <w:tcW w:w="636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兵、师</w:t>
            </w:r>
          </w:p>
        </w:tc>
        <w:tc>
          <w:tcPr>
            <w:tcW w:w="961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师林业和草原局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</w:trPr>
        <w:tc>
          <w:tcPr>
            <w:tcW w:w="478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3</w:t>
            </w:r>
          </w:p>
        </w:tc>
        <w:tc>
          <w:tcPr>
            <w:tcW w:w="1744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通过调阅相关文件技术资料、受理群众投诉、实地查看等方式，检查被督察区域有关规划编制、审批、修改和实施情况。注重科学利用卫星遥感技术，通过提取卫星遥感监测疑似图斑，分析、对比、判断和查处违法违规行为。</w:t>
            </w:r>
          </w:p>
        </w:tc>
        <w:tc>
          <w:tcPr>
            <w:tcW w:w="1531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城乡规划执法监督检查权</w:t>
            </w:r>
          </w:p>
        </w:tc>
        <w:tc>
          <w:tcPr>
            <w:tcW w:w="1367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辖区内开发建设类企业、单位</w:t>
            </w:r>
          </w:p>
        </w:tc>
        <w:tc>
          <w:tcPr>
            <w:tcW w:w="111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0"/>
                <w:lang w:val="en-US" w:eastAsia="zh-CN"/>
              </w:rPr>
              <w:t>10</w:t>
            </w:r>
          </w:p>
        </w:tc>
        <w:tc>
          <w:tcPr>
            <w:tcW w:w="804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全年</w:t>
            </w:r>
          </w:p>
        </w:tc>
        <w:tc>
          <w:tcPr>
            <w:tcW w:w="636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</w:t>
            </w:r>
          </w:p>
        </w:tc>
        <w:tc>
          <w:tcPr>
            <w:tcW w:w="961" w:type="dxa"/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师自然资源和规划局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4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对测绘成果的使用、保管单位实地检查。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对国家秘密测绘成果的使用、管理情况的监督检查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辖区内注册测绘资质单位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0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eastAsia="zh-CN"/>
              </w:rPr>
              <w:t>—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全年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兵、师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师自然资源和规划局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5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对测绘资质单位的技术人员、仪器设备、档案管理、成果保密等情况实地检查。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对测绘资质的监督检查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辖区内注册测绘资质单位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0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  <w:lang w:eastAsia="zh-CN"/>
              </w:rPr>
              <w:t>—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全年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兵、师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师自然资源和规划局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6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对机关、事业单位、企业、社会组织等对地图的制作、使用、管理、保密等进行实地检查。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对地图市场的检查；测绘成果质量的监督检查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辖区机关、事业单位、企业、社会组织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20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日常监督监管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全年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兵、师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师自然资源和规划局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7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定期或不定期对矿业权人的相应内容监督检查。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兵团确权且登记发证范围内开采三类和部分二类矿产资源的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非煤矿山企业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2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4-11月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师自然资源和规划局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8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组织有关单位相关工作人员，对在集贸市场以外经营利用野生动植物或其产品的进行监督检查，并将检查结果登记备案。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对野生动植物或者其产品的经营利用监督检查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繁育类企业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2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日常监督监管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eastAsia="zh-CN"/>
              </w:rPr>
              <w:t>每季度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师、团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师林业和草原局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9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定期或不定期矿山地质环境监测监督检查。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对地质勘查活动的行政检查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地质勘察企业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2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日常监督监管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4-11月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师自然资源和规划局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</w:t>
            </w: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0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采取实地调查、查阅资料等方式， 对矿业权人履行矿产资源勘查开采法定义务情况进行监督检查。对履行法定义务不到位的矿业权人，要求限期整改。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对探矿权人、采矿权人的行政检查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非煤矿山企业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  <w:lang w:val="en-US" w:eastAsia="zh-CN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2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4-12月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师自然资源和规划局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8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</w:t>
            </w: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1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2名以上检查执法人员到达现场，出示证件，说明来意，告知相对人权利义务。听取汇报查阅资料，现场检查、向有关单位和个人调查取证等，填写检查记录；并依法进行勘验（查）鉴定、询问。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对出售、购买、利用、运输、寄递野生动物及其制品等活动进行监督检查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农贸市场、冻品市场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1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eastAsia="zh-CN"/>
              </w:rPr>
              <w:t>每季度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兵、师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师林业和草原局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</w:trPr>
        <w:tc>
          <w:tcPr>
            <w:tcW w:w="478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</w:t>
            </w: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2</w:t>
            </w:r>
          </w:p>
        </w:tc>
        <w:tc>
          <w:tcPr>
            <w:tcW w:w="174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2名以上检查执法人员到达现场，出示证件，说明来意，告知相对人权利义务。听取汇报查阅资料，现场检查、向有关单位和个人调查取证等，填写检查记录；并依法进行勘验（查）鉴定、询问。</w:t>
            </w:r>
          </w:p>
        </w:tc>
        <w:tc>
          <w:tcPr>
            <w:tcW w:w="153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对采集、出售、收购国家和自治区重点保护野生植物活动的监督检查</w:t>
            </w:r>
          </w:p>
        </w:tc>
        <w:tc>
          <w:tcPr>
            <w:tcW w:w="1367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农贸市场、冻品市场</w:t>
            </w:r>
          </w:p>
        </w:tc>
        <w:tc>
          <w:tcPr>
            <w:tcW w:w="111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val="en-US" w:eastAsia="zh-CN"/>
              </w:rPr>
              <w:t>1</w:t>
            </w:r>
          </w:p>
        </w:tc>
        <w:tc>
          <w:tcPr>
            <w:tcW w:w="804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100%</w:t>
            </w:r>
          </w:p>
        </w:tc>
        <w:tc>
          <w:tcPr>
            <w:tcW w:w="80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现场检查</w:t>
            </w:r>
          </w:p>
        </w:tc>
        <w:tc>
          <w:tcPr>
            <w:tcW w:w="823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1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10"/>
                <w:lang w:eastAsia="zh-CN"/>
              </w:rPr>
              <w:t>每季度</w:t>
            </w:r>
          </w:p>
        </w:tc>
        <w:tc>
          <w:tcPr>
            <w:tcW w:w="636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兵、师</w:t>
            </w:r>
          </w:p>
        </w:tc>
        <w:tc>
          <w:tcPr>
            <w:tcW w:w="961" w:type="dxa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10"/>
              </w:rPr>
            </w:pPr>
            <w:r>
              <w:rPr>
                <w:rFonts w:hint="default" w:ascii="Times New Roman" w:hAnsi="Times New Roman" w:cs="Times New Roman"/>
                <w:sz w:val="10"/>
              </w:rPr>
              <w:t>师林业和草原局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textAlignment w:val="auto"/>
        <w:rPr>
          <w:sz w:val="10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textAlignment w:val="auto"/>
        <w:rPr>
          <w:sz w:val="1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rFonts w:hint="eastAsia"/>
          <w:sz w:val="20"/>
          <w:lang w:eastAsia="zh-CN"/>
        </w:rPr>
      </w:pPr>
    </w:p>
    <w:sectPr>
      <w:type w:val="continuous"/>
      <w:pgSz w:w="11910" w:h="16840"/>
      <w:pgMar w:top="1480" w:right="86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835C4"/>
    <w:rsid w:val="113B343E"/>
    <w:rsid w:val="12217CC4"/>
    <w:rsid w:val="141A2AED"/>
    <w:rsid w:val="228A1037"/>
    <w:rsid w:val="27AF193D"/>
    <w:rsid w:val="2C6F036B"/>
    <w:rsid w:val="5435353D"/>
    <w:rsid w:val="63D506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_GB2312" w:hAnsi="仿宋_GB2312" w:eastAsia="仿宋_GB2312" w:cs="仿宋_GB2312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16"/>
      <w:szCs w:val="16"/>
    </w:rPr>
  </w:style>
  <w:style w:type="table" w:customStyle="1" w:styleId="5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rPr>
      <w:rFonts w:ascii="仿宋_GB2312" w:hAnsi="仿宋_GB2312" w:eastAsia="仿宋_GB2312" w:cs="仿宋_GB231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ScaleCrop>false</ScaleCrop>
  <LinksUpToDate>false</LinksUpToDate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2026-03-06T09:06:00Z</dcterms:created>
  <dc:creator>weiwei yang</dc:creator>
  <cp:lastModifiedBy>Administrator</cp:lastModifiedBy>
  <cp:lastPrinted>2026-03-09T09:05:13Z</cp:lastPrinted>
  <dcterms:modified xsi:type="dcterms:W3CDTF">2026-03-09T09:06:44Z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WPS 表格</vt:lpwstr>
  </property>
  <property fmtid="{D5CDD505-2E9C-101B-9397-08002B2CF9AE}" pid="4" name="LastSaved">
    <vt:filetime>2026-03-06T00:00:00Z</vt:filetime>
  </property>
  <property fmtid="{D5CDD505-2E9C-101B-9397-08002B2CF9AE}" pid="5" name="KSOProductBuildVer">
    <vt:lpwstr>2052-11.1.0.9021</vt:lpwstr>
  </property>
</Properties>
</file>