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26ED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第十四师昆玉市住房和城乡建设局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2025年度行政执法总体情况公示</w:t>
      </w:r>
    </w:p>
    <w:p w14:paraId="4B809A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228D90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为全面落实行政执法公示制度，主动接受社会监督，推进严格规范公正文明执法，现将我局2025年度行政执法总体情况公示如下：</w:t>
      </w:r>
    </w:p>
    <w:p w14:paraId="663F59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一、行政执法机关执法主体名称和数量情况</w:t>
      </w:r>
    </w:p>
    <w:p w14:paraId="3AA3BE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师市住建局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依法具有行政执法主体资格的单位共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个，其中：法定行政机关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个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受委托执法单位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个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即师市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城市管理综合执法支队。所有执法主体均已按规定完成主体资格公示、权责清单公示，执法主体资格合法有效，无越权、无权执法主体开展执法活动情形。</w:t>
      </w:r>
    </w:p>
    <w:p w14:paraId="273693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二、各执法主体执法岗位设置及执法人员在岗情况</w:t>
      </w:r>
    </w:p>
    <w:p w14:paraId="2A8E40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2025年度，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师市住建局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执法主体共设置行政执法岗位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37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个，涵盖工程建设、质量安全、建筑市场、房地产市场、市政燃气、物业管理、消防验收备案、行政审批等领域。</w:t>
      </w:r>
    </w:p>
    <w:p w14:paraId="7FC07D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截至2025年12月31日，在岗持有效行政执法证件人员共计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37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人，全部通过执法资格考试、年度培训考核，持证上岗率100%。岗位人员配置合理、职责清晰，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不存在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无证执法、临时人员执法等情况；法制审核岗位人员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人，均符合《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中华人民共和国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行政处罚法》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第五十八条第二款规定的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资格要求。</w:t>
      </w:r>
    </w:p>
    <w:p w14:paraId="18C23F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三、执法力量投入情况</w:t>
      </w:r>
    </w:p>
    <w:p w14:paraId="0E21FB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2025年度，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师市住建局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持续强化执法力量保障，全年累计投入执法人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员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1500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人次，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开展日常巡查、专项检查、双随机抽查、隐患排查、案件查办等执法工作。重点加大对建筑施工安全、城镇燃气、自建房安全、房地产市场、消防验收备案、扬尘治理等领域执法投入，实行日常巡查与专项整治相结合，确保监管全覆盖、无盲区。执法车辆、执法装备、执法记录仪等硬件保障到位，执法全过程记录规范落实。 </w:t>
      </w:r>
    </w:p>
    <w:p w14:paraId="56FC44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 xml:space="preserve">四、政务服务事项办理情况 </w:t>
      </w:r>
    </w:p>
    <w:p w14:paraId="769218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2025年度，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师市住建局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严格落实“放管服”改革要求，依法办理行政许可、备案、核准、政务服务等事项共计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275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件，其中：施工许可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107件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消防设计审查62件、门头牌匾报备审批50件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，商品房预售许可证9件、大型户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外广告审批4件、燃气经营许可证6件；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其他政务服务及便民事项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37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件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所有事项均在政务服务平台依法受理、按时办结，按时办结率100%，群众评价满意率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100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%，无超期办理、违规审批、推诿扯皮情况，全程实行“一网通办、限时办结、全程公开”。</w:t>
      </w:r>
    </w:p>
    <w:p w14:paraId="0FDC0F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五、行政检查计划执行情况</w:t>
      </w:r>
    </w:p>
    <w:p w14:paraId="55B23D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2025年度，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师市住建局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严格按照年度行政检查计划、权责清单、双随机一公开要求开展行政检查，全年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共检查了143个师市房屋建筑和市政工程项目</w:t>
      </w:r>
      <w:r>
        <w:rPr>
          <w:rFonts w:hint="default" w:ascii="Times New Roman" w:hAnsi="Times New Roman" w:cs="Times New Roman"/>
          <w:color w:val="000000" w:themeColor="text1"/>
          <w:kern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其中复工项目70项，新开工项目73项</w:t>
      </w:r>
      <w:r>
        <w:rPr>
          <w:rFonts w:hint="default" w:ascii="Times New Roman" w:hAnsi="Times New Roman" w:cs="Times New Roman"/>
          <w:color w:val="000000" w:themeColor="text1"/>
          <w:kern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仿宋_GB2312" w:cs="Times New Roman"/>
          <w:color w:val="000000" w:themeColor="text1"/>
          <w:kern w:val="0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，下达整改通知书222份，约谈建设单位1家、施工单位3家，移交线索2项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 w14:paraId="53CCF4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六、行政处罚、行政强制等案件办理情况</w:t>
      </w:r>
    </w:p>
    <w:p w14:paraId="6A3BC9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2025年度，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师市住建局受理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行政执法案件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件，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罚款82.49万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元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实缴25.98万元，经批准延期缴纳56.51万元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移交公安3件，移交法院3件，案件按期办结率达到100％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 w14:paraId="4802AF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七、投诉举报案件的受理和分类办理情况</w:t>
      </w:r>
    </w:p>
    <w:p w14:paraId="62AE01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2025年度，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师市住建局共受理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施工扰民、工程质量、商品房交付、物业纠纷、违法建设、拖欠工程款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群众投诉、举报、信访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高频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舆情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案件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20余起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，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确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保及时回复职工群众，将意识形态风险化解在业务办理中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。对查实存在违法违规行为的，依法立案查处或责令整改；对不属于住建职责范围的，及时移送相关部门并告知投诉人，做到件件有回音、事事有落实。</w:t>
      </w:r>
    </w:p>
    <w:p w14:paraId="5B7FFA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八、行政执法机关认为需要公示的其他情况</w:t>
      </w:r>
    </w:p>
    <w:p w14:paraId="710333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1. 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制定了《第十四师昆玉市城市住建局2025年依法行政大培训实施方案》，举行4期</w:t>
      </w:r>
      <w:r>
        <w:rPr>
          <w:rFonts w:hint="default" w:ascii="Times New Roman" w:hAnsi="Times New Roman" w:eastAsia="仿宋_GB2312" w:cs="Times New Roman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依法行政大培训，实现执法人员46人及协管员22人全覆盖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 w14:paraId="268664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2. 全面落实执法全过程记录、重大执法决定法制审核、行政执法公示三项制度，执行到位率100%。</w:t>
      </w:r>
    </w:p>
    <w:p w14:paraId="59B9F6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3. 严格执行行政执法与刑事司法衔接机制，未发生应移送未移送刑事案件情况。</w:t>
      </w:r>
    </w:p>
    <w:p w14:paraId="0A1A98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358B8C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E6221BD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E6221BD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8B2F5E"/>
    <w:rsid w:val="1A5A4778"/>
    <w:rsid w:val="1D93283A"/>
    <w:rsid w:val="21431678"/>
    <w:rsid w:val="229D45D4"/>
    <w:rsid w:val="23EA7960"/>
    <w:rsid w:val="2F1C090D"/>
    <w:rsid w:val="44050BA8"/>
    <w:rsid w:val="45356914"/>
    <w:rsid w:val="50E27822"/>
    <w:rsid w:val="5D5B3DAB"/>
    <w:rsid w:val="768B2F5E"/>
    <w:rsid w:val="7B424F78"/>
    <w:rsid w:val="7F88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-2147483648" w:beforeAutospacing="1" w:after="0" w:afterAutospacing="1"/>
      <w:jc w:val="left"/>
      <w:outlineLvl w:val="0"/>
    </w:pPr>
    <w:rPr>
      <w:rFonts w:hint="eastAsia" w:ascii="宋体" w:hAnsi="宋体" w:eastAsia="黑体" w:cs="宋体"/>
      <w:bCs/>
      <w:kern w:val="44"/>
      <w:sz w:val="32"/>
      <w:szCs w:val="48"/>
      <w:lang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正文模板"/>
    <w:basedOn w:val="1"/>
    <w:qFormat/>
    <w:uiPriority w:val="0"/>
    <w:pPr>
      <w:spacing w:line="560" w:lineRule="exact"/>
      <w:ind w:firstLine="640" w:firstLineChars="200"/>
    </w:pPr>
    <w:rPr>
      <w:rFonts w:hint="eastAsia" w:ascii="仿宋_GB2312" w:hAnsi="仿宋_GB2312" w:eastAsia="仿宋_GB2312" w:cs="仿宋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1404</Words>
  <Characters>1490</Characters>
  <Lines>0</Lines>
  <Paragraphs>0</Paragraphs>
  <TotalTime>12</TotalTime>
  <ScaleCrop>false</ScaleCrop>
  <LinksUpToDate>false</LinksUpToDate>
  <CharactersWithSpaces>1495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2026-02-27T07:34:00Z</dcterms:created>
  <dc:creator>无名人</dc:creator>
  <cp:lastModifiedBy>无名人</cp:lastModifiedBy>
  <dcterms:modified xsi:type="dcterms:W3CDTF">2026-04-03T09:20:57Z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5E672A40499B4ECCBCE3AD4A199BA131_11</vt:lpwstr>
  </property>
  <property fmtid="{D5CDD505-2E9C-101B-9397-08002B2CF9AE}" pid="4" name="KSOTemplateDocerSaveRecord">
    <vt:lpwstr>eyJoZGlkIjoiZmZhNjBhYjFkMGE4NWIyNDIxZDA0YjlhMTQ0OGNiNTciLCJ1c2VySWQiOiI3MDM1MDI5OTIifQ==</vt:lpwstr>
  </property>
</Properties>
</file>