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671AD5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center"/>
        <w:textAlignment w:val="auto"/>
        <w:rPr>
          <w:rFonts w:hint="eastAsia" w:ascii="Times New Roman" w:hAnsi="Times New Roman" w:eastAsia="方正小标宋_GBK" w:cs="Times New Roman"/>
          <w:spacing w:val="6"/>
          <w:sz w:val="44"/>
          <w:szCs w:val="44"/>
          <w:highlight w:val="none"/>
          <w:lang w:val="en-US" w:eastAsia="zh-CN"/>
        </w:rPr>
      </w:pPr>
      <w:r>
        <w:rPr>
          <w:rFonts w:hint="default" w:ascii="Times New Roman" w:hAnsi="Times New Roman" w:eastAsia="方正小标宋_GBK" w:cs="Times New Roman"/>
          <w:spacing w:val="6"/>
          <w:sz w:val="44"/>
          <w:szCs w:val="44"/>
          <w:highlight w:val="none"/>
          <w:lang w:val="en-US" w:eastAsia="zh-CN"/>
        </w:rPr>
        <w:t>关于调整</w:t>
      </w:r>
      <w:r>
        <w:rPr>
          <w:rFonts w:hint="eastAsia" w:ascii="Times New Roman" w:hAnsi="Times New Roman" w:eastAsia="方正小标宋_GBK" w:cs="Times New Roman"/>
          <w:spacing w:val="6"/>
          <w:sz w:val="44"/>
          <w:szCs w:val="44"/>
          <w:highlight w:val="none"/>
          <w:lang w:val="en-US" w:eastAsia="zh-CN"/>
        </w:rPr>
        <w:t>昆玉市主城区、224团、47团</w:t>
      </w:r>
    </w:p>
    <w:p w14:paraId="301E88F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center"/>
        <w:textAlignment w:val="auto"/>
        <w:rPr>
          <w:rFonts w:hint="default" w:ascii="Times New Roman" w:hAnsi="Times New Roman" w:eastAsia="方正小标宋_GBK" w:cs="Times New Roman"/>
          <w:spacing w:val="6"/>
          <w:sz w:val="44"/>
          <w:szCs w:val="44"/>
          <w:highlight w:val="none"/>
          <w:lang w:val="en-US" w:eastAsia="zh-CN"/>
        </w:rPr>
      </w:pPr>
      <w:r>
        <w:rPr>
          <w:rFonts w:hint="eastAsia" w:ascii="Times New Roman" w:hAnsi="Times New Roman" w:eastAsia="方正小标宋_GBK" w:cs="Times New Roman"/>
          <w:spacing w:val="6"/>
          <w:sz w:val="44"/>
          <w:szCs w:val="44"/>
          <w:highlight w:val="none"/>
          <w:lang w:val="en-US" w:eastAsia="zh-CN"/>
        </w:rPr>
        <w:t>城镇</w:t>
      </w:r>
      <w:r>
        <w:rPr>
          <w:rFonts w:hint="default" w:ascii="Times New Roman" w:hAnsi="Times New Roman" w:eastAsia="方正小标宋_GBK" w:cs="Times New Roman"/>
          <w:spacing w:val="6"/>
          <w:sz w:val="44"/>
          <w:szCs w:val="44"/>
          <w:highlight w:val="none"/>
          <w:lang w:val="en-US" w:eastAsia="zh-CN"/>
        </w:rPr>
        <w:t>供水听证会第</w:t>
      </w:r>
      <w:r>
        <w:rPr>
          <w:rFonts w:hint="eastAsia" w:ascii="Times New Roman" w:hAnsi="Times New Roman" w:eastAsia="方正小标宋_GBK" w:cs="Times New Roman"/>
          <w:spacing w:val="6"/>
          <w:sz w:val="44"/>
          <w:szCs w:val="44"/>
          <w:highlight w:val="none"/>
          <w:lang w:val="en-US" w:eastAsia="zh-CN"/>
        </w:rPr>
        <w:t>二</w:t>
      </w:r>
      <w:r>
        <w:rPr>
          <w:rFonts w:hint="default" w:ascii="Times New Roman" w:hAnsi="Times New Roman" w:eastAsia="方正小标宋_GBK" w:cs="Times New Roman"/>
          <w:spacing w:val="6"/>
          <w:sz w:val="44"/>
          <w:szCs w:val="44"/>
          <w:highlight w:val="none"/>
          <w:lang w:val="en-US" w:eastAsia="zh-CN"/>
        </w:rPr>
        <w:t>次公告</w:t>
      </w:r>
    </w:p>
    <w:p w14:paraId="193B6E2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904" w:firstLineChars="200"/>
        <w:jc w:val="left"/>
        <w:textAlignment w:val="auto"/>
        <w:rPr>
          <w:rFonts w:hint="default" w:ascii="Times New Roman" w:hAnsi="Times New Roman" w:eastAsia="方正仿宋_GBK" w:cs="Times New Roman"/>
          <w:spacing w:val="6"/>
          <w:sz w:val="44"/>
          <w:szCs w:val="44"/>
          <w:highlight w:val="none"/>
          <w:lang w:val="en-US" w:eastAsia="zh-CN"/>
        </w:rPr>
      </w:pPr>
    </w:p>
    <w:p w14:paraId="65B9200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64" w:firstLineChars="200"/>
        <w:jc w:val="left"/>
        <w:textAlignment w:val="auto"/>
        <w:rPr>
          <w:rFonts w:hint="eastAsia" w:ascii="仿宋_GB2312" w:hAnsi="仿宋_GB2312" w:eastAsia="仿宋_GB2312" w:cs="仿宋_GB2312"/>
          <w:spacing w:val="6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pacing w:val="6"/>
          <w:sz w:val="32"/>
          <w:szCs w:val="32"/>
          <w:highlight w:val="none"/>
          <w:lang w:val="en-US" w:eastAsia="zh-CN"/>
        </w:rPr>
        <w:t>为提高政府价格决策的民主性、科学性和透明度，根据《中华人民共和国价格法》《政府制定价格听证办法》等有关规定，调整昆玉市主城区、224团、47团城镇供水价格调整应当采取听证会形式，征求经营者、消费者和有关方面的意见，对制定价格的必要性、可行性进行论证，保障公民的知情权、参与权、表达权、监督权，现就有关事宜公告如下：</w:t>
      </w:r>
    </w:p>
    <w:p w14:paraId="00681CDA">
      <w:pPr>
        <w:pStyle w:val="3"/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一、听证会举行的时间、地点</w:t>
      </w:r>
    </w:p>
    <w:p w14:paraId="7D76683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64" w:firstLineChars="200"/>
        <w:jc w:val="left"/>
        <w:textAlignment w:val="auto"/>
        <w:rPr>
          <w:rFonts w:hint="eastAsia" w:ascii="仿宋_GB2312" w:hAnsi="仿宋_GB2312" w:eastAsia="仿宋_GB2312" w:cs="仿宋_GB2312"/>
          <w:spacing w:val="6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pacing w:val="6"/>
          <w:sz w:val="32"/>
          <w:szCs w:val="32"/>
          <w:highlight w:val="none"/>
          <w:lang w:val="en-US" w:eastAsia="zh-CN"/>
        </w:rPr>
        <w:t>时间：拟定2026年7月3日星期五上午11:00，地点：昆玉市政府（具体会议室另行通知）。</w:t>
      </w:r>
    </w:p>
    <w:p w14:paraId="39A041E3">
      <w:pPr>
        <w:pStyle w:val="3"/>
        <w:bidi w:val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二、</w:t>
      </w:r>
      <w:r>
        <w:rPr>
          <w:rFonts w:hint="eastAsia"/>
          <w:lang w:val="en-US" w:eastAsia="zh-CN"/>
        </w:rPr>
        <w:t>听证内容</w:t>
      </w:r>
    </w:p>
    <w:p w14:paraId="3E16E1A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64" w:firstLineChars="200"/>
        <w:jc w:val="left"/>
        <w:textAlignment w:val="auto"/>
        <w:rPr>
          <w:rFonts w:hint="default" w:ascii="仿宋_GB2312" w:hAnsi="仿宋_GB2312" w:eastAsia="仿宋_GB2312" w:cs="仿宋_GB2312"/>
          <w:spacing w:val="6"/>
          <w:sz w:val="32"/>
          <w:szCs w:val="32"/>
          <w:highlight w:val="none"/>
          <w:lang w:val="en-US" w:eastAsia="zh-CN"/>
        </w:rPr>
      </w:pPr>
      <w:r>
        <w:rPr>
          <w:rFonts w:hint="default" w:ascii="仿宋_GB2312" w:hAnsi="仿宋_GB2312" w:eastAsia="仿宋_GB2312" w:cs="仿宋_GB2312"/>
          <w:spacing w:val="6"/>
          <w:sz w:val="32"/>
          <w:szCs w:val="32"/>
          <w:highlight w:val="none"/>
          <w:lang w:val="en-US" w:eastAsia="zh-CN"/>
        </w:rPr>
        <w:t>（一）听证项目：</w:t>
      </w:r>
      <w:r>
        <w:rPr>
          <w:rFonts w:hint="eastAsia" w:ascii="仿宋_GB2312" w:hAnsi="仿宋_GB2312" w:eastAsia="仿宋_GB2312" w:cs="仿宋_GB2312"/>
          <w:spacing w:val="6"/>
          <w:sz w:val="32"/>
          <w:szCs w:val="32"/>
          <w:highlight w:val="none"/>
          <w:lang w:val="en-US" w:eastAsia="zh-CN"/>
        </w:rPr>
        <w:t>昆玉市主城区、224团、47团城镇供水</w:t>
      </w:r>
      <w:r>
        <w:rPr>
          <w:rFonts w:hint="default" w:ascii="仿宋_GB2312" w:hAnsi="仿宋_GB2312" w:eastAsia="仿宋_GB2312" w:cs="仿宋_GB2312"/>
          <w:spacing w:val="6"/>
          <w:sz w:val="32"/>
          <w:szCs w:val="32"/>
          <w:highlight w:val="none"/>
          <w:lang w:val="en-US" w:eastAsia="zh-CN"/>
        </w:rPr>
        <w:t>价格调整。</w:t>
      </w:r>
    </w:p>
    <w:p w14:paraId="5A50948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64" w:firstLineChars="200"/>
        <w:jc w:val="left"/>
        <w:textAlignment w:val="auto"/>
        <w:rPr>
          <w:rFonts w:hint="default" w:ascii="仿宋_GB2312" w:hAnsi="仿宋_GB2312" w:eastAsia="仿宋_GB2312" w:cs="仿宋_GB2312"/>
          <w:spacing w:val="6"/>
          <w:sz w:val="32"/>
          <w:szCs w:val="32"/>
          <w:highlight w:val="none"/>
          <w:lang w:val="en-US" w:eastAsia="zh-CN"/>
        </w:rPr>
      </w:pPr>
      <w:r>
        <w:rPr>
          <w:rFonts w:hint="default" w:ascii="仿宋_GB2312" w:hAnsi="仿宋_GB2312" w:eastAsia="仿宋_GB2312" w:cs="仿宋_GB2312"/>
          <w:spacing w:val="6"/>
          <w:sz w:val="32"/>
          <w:szCs w:val="32"/>
          <w:highlight w:val="none"/>
          <w:lang w:val="en-US" w:eastAsia="zh-CN"/>
        </w:rPr>
        <w:t>（二）主要内容</w:t>
      </w:r>
    </w:p>
    <w:p w14:paraId="1037B19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64" w:firstLineChars="200"/>
        <w:jc w:val="left"/>
        <w:textAlignment w:val="auto"/>
        <w:rPr>
          <w:rFonts w:hint="default" w:ascii="仿宋_GB2312" w:hAnsi="仿宋_GB2312" w:eastAsia="仿宋_GB2312" w:cs="仿宋_GB2312"/>
          <w:spacing w:val="6"/>
          <w:sz w:val="32"/>
          <w:szCs w:val="32"/>
          <w:highlight w:val="none"/>
          <w:lang w:val="en-US" w:eastAsia="zh-CN"/>
        </w:rPr>
      </w:pPr>
      <w:r>
        <w:rPr>
          <w:rFonts w:hint="default" w:ascii="仿宋_GB2312" w:hAnsi="仿宋_GB2312" w:eastAsia="仿宋_GB2312" w:cs="仿宋_GB2312"/>
          <w:spacing w:val="6"/>
          <w:sz w:val="32"/>
          <w:szCs w:val="32"/>
          <w:highlight w:val="none"/>
          <w:lang w:val="en-US" w:eastAsia="zh-CN"/>
        </w:rPr>
        <w:t>根据《新疆维吾尔自治区城镇供水价格管理实施细则》（新发改规〔2024〕1号）、《自治区城镇供水定价成本监审实施细则》（新发改规〔2022〕7号）等文件精神，以成本为基础制定合理的分类用水价格收费标准，并实施定额管理和阶梯水价制度。</w:t>
      </w:r>
    </w:p>
    <w:p w14:paraId="3F08C62C">
      <w:pPr>
        <w:pStyle w:val="3"/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三、成本审核结论</w:t>
      </w:r>
    </w:p>
    <w:p w14:paraId="1040CE2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64" w:firstLineChars="200"/>
        <w:jc w:val="left"/>
        <w:textAlignment w:val="auto"/>
        <w:rPr>
          <w:rFonts w:hint="eastAsia" w:ascii="仿宋_GB2312" w:hAnsi="仿宋_GB2312" w:eastAsia="仿宋_GB2312" w:cs="仿宋_GB2312"/>
          <w:spacing w:val="6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pacing w:val="6"/>
          <w:sz w:val="32"/>
          <w:szCs w:val="32"/>
          <w:highlight w:val="none"/>
          <w:lang w:val="en-US" w:eastAsia="zh-CN"/>
        </w:rPr>
        <w:t>根据《政府制定价格听证办法》《新疆维吾尔自治区城镇供水价格管理实施细则》（新发改规〔2024〕1号）《自治区城镇供水定价成本监审实施细则》（新发改规〔2022〕7号）等规定，遵循公平、科学、规范、效率的原则，按照合法性、合理性、相关性、权责发生制等原则，核定第十四师昆玉市供水情况如下：</w:t>
      </w:r>
    </w:p>
    <w:p w14:paraId="6C7DBAA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64" w:firstLineChars="200"/>
        <w:jc w:val="left"/>
        <w:textAlignment w:val="auto"/>
        <w:rPr>
          <w:rFonts w:hint="eastAsia" w:ascii="仿宋_GB2312" w:hAnsi="仿宋_GB2312" w:eastAsia="仿宋_GB2312" w:cs="仿宋_GB2312"/>
          <w:spacing w:val="6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pacing w:val="6"/>
          <w:sz w:val="32"/>
          <w:szCs w:val="32"/>
          <w:highlight w:val="none"/>
          <w:lang w:val="en-US" w:eastAsia="zh-CN"/>
        </w:rPr>
        <w:t>（一）供水成本审核结论</w:t>
      </w:r>
    </w:p>
    <w:p w14:paraId="5A4CA74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64" w:firstLineChars="200"/>
        <w:jc w:val="left"/>
        <w:textAlignment w:val="auto"/>
        <w:rPr>
          <w:rFonts w:hint="eastAsia" w:ascii="仿宋_GB2312" w:hAnsi="仿宋_GB2312" w:eastAsia="仿宋_GB2312" w:cs="仿宋_GB2312"/>
          <w:spacing w:val="6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pacing w:val="6"/>
          <w:sz w:val="32"/>
          <w:szCs w:val="32"/>
          <w:highlight w:val="none"/>
          <w:lang w:val="en-US" w:eastAsia="zh-CN"/>
        </w:rPr>
        <w:t>1.昆玉市昆源水务有限公司。核定供水量为391.04万立方米，供水总成本为899.74万元，供水单位成本为2.30元/立方米。2.昆玉市晨昆水利工程有限公司。核定供水量33.12万立方米，供水总成本为49万元，供水单位成本1.48元/立方米。3.昆玉市昆达物业管理有限公司</w:t>
      </w:r>
      <w:r>
        <w:rPr>
          <w:rFonts w:hint="default" w:ascii="仿宋_GB2312" w:hAnsi="仿宋_GB2312" w:eastAsia="仿宋_GB2312" w:cs="仿宋_GB2312"/>
          <w:spacing w:val="6"/>
          <w:sz w:val="32"/>
          <w:szCs w:val="32"/>
          <w:highlight w:val="none"/>
          <w:lang w:val="en-US" w:eastAsia="zh-CN"/>
        </w:rPr>
        <w:t>。</w:t>
      </w:r>
      <w:r>
        <w:rPr>
          <w:rFonts w:hint="eastAsia" w:ascii="仿宋_GB2312" w:hAnsi="仿宋_GB2312" w:eastAsia="仿宋_GB2312" w:cs="仿宋_GB2312"/>
          <w:spacing w:val="6"/>
          <w:sz w:val="32"/>
          <w:szCs w:val="32"/>
          <w:highlight w:val="none"/>
          <w:lang w:val="en-US" w:eastAsia="zh-CN"/>
        </w:rPr>
        <w:t>核定供水量93.86万立方米，供水总成本105.68万元，供水单位成本1.13元/立方米</w:t>
      </w:r>
      <w:r>
        <w:rPr>
          <w:rFonts w:hint="default" w:ascii="仿宋_GB2312" w:hAnsi="仿宋_GB2312" w:eastAsia="仿宋_GB2312" w:cs="仿宋_GB2312"/>
          <w:spacing w:val="6"/>
          <w:sz w:val="32"/>
          <w:szCs w:val="32"/>
          <w:highlight w:val="none"/>
          <w:lang w:val="en-US" w:eastAsia="zh-CN"/>
        </w:rPr>
        <w:t>。</w:t>
      </w:r>
      <w:r>
        <w:rPr>
          <w:rFonts w:hint="eastAsia" w:ascii="仿宋_GB2312" w:hAnsi="仿宋_GB2312" w:eastAsia="仿宋_GB2312" w:cs="仿宋_GB2312"/>
          <w:spacing w:val="6"/>
          <w:sz w:val="32"/>
          <w:szCs w:val="32"/>
          <w:highlight w:val="none"/>
          <w:lang w:val="en-US" w:eastAsia="zh-CN"/>
        </w:rPr>
        <w:t>4.昆玉市锦绣城市运营服务有限责任公司</w:t>
      </w:r>
      <w:r>
        <w:rPr>
          <w:rFonts w:hint="default" w:ascii="仿宋_GB2312" w:hAnsi="仿宋_GB2312" w:eastAsia="仿宋_GB2312" w:cs="仿宋_GB2312"/>
          <w:spacing w:val="6"/>
          <w:sz w:val="32"/>
          <w:szCs w:val="32"/>
          <w:highlight w:val="none"/>
          <w:lang w:val="en-US" w:eastAsia="zh-CN"/>
        </w:rPr>
        <w:t>。核定绿化供水量1440.08万立方米，供水总成本610.52万元，供水单位成本0.42元/立方米。</w:t>
      </w:r>
      <w:r>
        <w:rPr>
          <w:rFonts w:hint="eastAsia" w:ascii="仿宋_GB2312" w:hAnsi="仿宋_GB2312" w:eastAsia="仿宋_GB2312" w:cs="仿宋_GB2312"/>
          <w:spacing w:val="6"/>
          <w:sz w:val="32"/>
          <w:szCs w:val="32"/>
          <w:highlight w:val="none"/>
          <w:lang w:val="en-US" w:eastAsia="zh-CN"/>
        </w:rPr>
        <w:t>5.中再生双江环卫有限公司新疆皮山农场分公司</w:t>
      </w:r>
      <w:r>
        <w:rPr>
          <w:rFonts w:hint="default" w:ascii="仿宋_GB2312" w:hAnsi="仿宋_GB2312" w:eastAsia="仿宋_GB2312" w:cs="仿宋_GB2312"/>
          <w:spacing w:val="6"/>
          <w:sz w:val="32"/>
          <w:szCs w:val="32"/>
          <w:highlight w:val="none"/>
          <w:lang w:val="en-US" w:eastAsia="zh-CN"/>
        </w:rPr>
        <w:t>。</w:t>
      </w:r>
      <w:r>
        <w:rPr>
          <w:rFonts w:hint="eastAsia" w:ascii="仿宋_GB2312" w:hAnsi="仿宋_GB2312" w:eastAsia="仿宋_GB2312" w:cs="仿宋_GB2312"/>
          <w:spacing w:val="6"/>
          <w:sz w:val="32"/>
          <w:szCs w:val="32"/>
          <w:highlight w:val="none"/>
          <w:lang w:val="en-US" w:eastAsia="zh-CN"/>
        </w:rPr>
        <w:t>因内部经营状况原因，拒绝提供审核相关资料，无法对其开展成本审核工作。6.昆玉市老兵文化旅游投资有限责任公司。因财务制度不健全，无法提供相关审核资料，无法对其开展成本审核工作。</w:t>
      </w:r>
    </w:p>
    <w:p w14:paraId="4AF4390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64" w:firstLineChars="200"/>
        <w:jc w:val="left"/>
        <w:textAlignment w:val="auto"/>
        <w:rPr>
          <w:rFonts w:hint="default" w:ascii="仿宋_GB2312" w:hAnsi="仿宋_GB2312" w:eastAsia="仿宋_GB2312" w:cs="仿宋_GB2312"/>
          <w:spacing w:val="6"/>
          <w:sz w:val="32"/>
          <w:szCs w:val="32"/>
          <w:highlight w:val="none"/>
          <w:lang w:val="en-US" w:eastAsia="zh-CN"/>
        </w:rPr>
      </w:pPr>
      <w:r>
        <w:rPr>
          <w:rFonts w:hint="default" w:ascii="仿宋_GB2312" w:hAnsi="仿宋_GB2312" w:eastAsia="仿宋_GB2312" w:cs="仿宋_GB2312"/>
          <w:spacing w:val="6"/>
          <w:sz w:val="32"/>
          <w:szCs w:val="32"/>
          <w:highlight w:val="none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spacing w:val="6"/>
          <w:sz w:val="32"/>
          <w:szCs w:val="32"/>
          <w:highlight w:val="none"/>
          <w:lang w:val="en-US" w:eastAsia="zh-CN"/>
        </w:rPr>
        <w:t>供水调整结果</w:t>
      </w:r>
    </w:p>
    <w:p w14:paraId="766084C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64" w:firstLineChars="200"/>
        <w:jc w:val="left"/>
        <w:textAlignment w:val="auto"/>
        <w:rPr>
          <w:rFonts w:hint="eastAsia" w:ascii="仿宋_GB2312" w:hAnsi="仿宋_GB2312" w:eastAsia="仿宋_GB2312" w:cs="仿宋_GB2312"/>
          <w:spacing w:val="6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pacing w:val="6"/>
          <w:sz w:val="32"/>
          <w:szCs w:val="32"/>
          <w:highlight w:val="none"/>
          <w:lang w:val="en-US" w:eastAsia="zh-CN"/>
        </w:rPr>
        <w:t>根据本次成本监审结果，昆玉市晨昆水利工程有限公司、昆玉市昆达物业管理有限公司单位供水成本均未超过居民用水价格，未出现成本倒挂的情况；47团老兵文化旅游投资有限责任公司因财务制度不健全，无法提供财务审核资料；皮山农场中再生双江环卫有限公司拒绝提供财务审核相关资料。本次仅对昆源水务公司运营的昆玉市主城区、224团、47团城镇供水价格进行调整，皮山农场、225团、一牧场城镇供水价格暂不进行调整，仍按照现行规定执行，但根据《关于新疆维吾尔自治区水资源税改革试点有关事项的通知》“城镇公共供水地表水税额标准为0.06元/立方米，地下水税额标准为0.12元/立方米，本次调价所有团场均开始收取水资源税。</w:t>
      </w:r>
    </w:p>
    <w:p w14:paraId="159AFA50">
      <w:pPr>
        <w:pStyle w:val="3"/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四、听证方案</w:t>
      </w:r>
    </w:p>
    <w:p w14:paraId="50497DF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64" w:firstLineChars="200"/>
        <w:jc w:val="left"/>
        <w:textAlignment w:val="auto"/>
        <w:rPr>
          <w:rFonts w:hint="eastAsia" w:ascii="仿宋_GB2312" w:hAnsi="仿宋_GB2312" w:eastAsia="仿宋_GB2312" w:cs="仿宋_GB2312"/>
          <w:spacing w:val="6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pacing w:val="6"/>
          <w:sz w:val="32"/>
          <w:szCs w:val="32"/>
          <w:highlight w:val="none"/>
          <w:lang w:val="en-US" w:eastAsia="zh-CN"/>
        </w:rPr>
        <w:t>（一）</w:t>
      </w:r>
      <w:r>
        <w:rPr>
          <w:rFonts w:hint="default" w:ascii="仿宋_GB2312" w:hAnsi="仿宋_GB2312" w:eastAsia="仿宋_GB2312" w:cs="仿宋_GB2312"/>
          <w:spacing w:val="6"/>
          <w:sz w:val="32"/>
          <w:szCs w:val="32"/>
          <w:highlight w:val="none"/>
          <w:lang w:val="en-US" w:eastAsia="zh-CN"/>
        </w:rPr>
        <w:t>城镇供水价格调整方案</w:t>
      </w:r>
    </w:p>
    <w:p w14:paraId="54EA032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64" w:firstLineChars="200"/>
        <w:jc w:val="left"/>
        <w:textAlignment w:val="auto"/>
        <w:rPr>
          <w:rFonts w:hint="default" w:ascii="仿宋_GB2312" w:hAnsi="仿宋_GB2312" w:eastAsia="仿宋_GB2312" w:cs="仿宋_GB2312"/>
          <w:spacing w:val="6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pacing w:val="6"/>
          <w:sz w:val="32"/>
          <w:szCs w:val="32"/>
          <w:highlight w:val="none"/>
          <w:lang w:val="en-US" w:eastAsia="zh-CN"/>
        </w:rPr>
        <w:t>根据《新疆维吾尔自治区城镇供水价格管理实施细则》（新发改规〔2024〕1号）“第十五条 城镇供水实行分类水价。根据使用性质分为居民生活用水、非居民用水、特种用水三类。</w:t>
      </w:r>
      <w:r>
        <w:rPr>
          <w:rFonts w:hint="default" w:ascii="仿宋_GB2312" w:hAnsi="仿宋_GB2312" w:eastAsia="仿宋_GB2312" w:cs="仿宋_GB2312"/>
          <w:spacing w:val="6"/>
          <w:sz w:val="32"/>
          <w:szCs w:val="32"/>
          <w:highlight w:val="none"/>
          <w:lang w:val="en-US" w:eastAsia="zh-CN"/>
        </w:rPr>
        <w:t>分类水价具体如下：</w:t>
      </w:r>
    </w:p>
    <w:tbl>
      <w:tblPr>
        <w:tblStyle w:val="7"/>
        <w:tblpPr w:leftFromText="180" w:rightFromText="180" w:vertAnchor="text" w:horzAnchor="page" w:tblpX="1315" w:tblpY="673"/>
        <w:tblOverlap w:val="never"/>
        <w:tblW w:w="8955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2"/>
        <w:gridCol w:w="2937"/>
        <w:gridCol w:w="1005"/>
        <w:gridCol w:w="335"/>
        <w:gridCol w:w="1087"/>
        <w:gridCol w:w="1313"/>
        <w:gridCol w:w="1286"/>
      </w:tblGrid>
      <w:tr w14:paraId="21CE45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4" w:hRule="atLeast"/>
        </w:trPr>
        <w:tc>
          <w:tcPr>
            <w:tcW w:w="992" w:type="dxa"/>
            <w:tcBorders>
              <w:top w:val="dotted" w:color="000000" w:sz="2" w:space="0"/>
              <w:left w:val="dotted" w:color="000000" w:sz="2" w:space="0"/>
              <w:bottom w:val="nil"/>
              <w:right w:val="dotted" w:color="000000" w:sz="2" w:space="0"/>
              <w:tl2br w:val="nil"/>
              <w:tr2bl w:val="nil"/>
            </w:tcBorders>
            <w:noWrap/>
            <w:vAlign w:val="center"/>
          </w:tcPr>
          <w:p w14:paraId="0DDEA022">
            <w:pPr>
              <w:jc w:val="center"/>
              <w:rPr>
                <w:rFonts w:ascii="宋体" w:eastAsia="宋体" w:cs="Lucida Sans"/>
                <w:b/>
                <w:i w:val="0"/>
                <w:color w:val="000000"/>
                <w:sz w:val="16"/>
              </w:rPr>
            </w:pPr>
            <w:r>
              <w:rPr>
                <w:rFonts w:ascii="宋体" w:eastAsia="宋体" w:cs="Lucida Sans"/>
                <w:b/>
                <w:i w:val="0"/>
                <w:color w:val="000000"/>
                <w:sz w:val="16"/>
              </w:rPr>
              <w:t>名称</w:t>
            </w:r>
          </w:p>
        </w:tc>
        <w:tc>
          <w:tcPr>
            <w:tcW w:w="2937" w:type="dxa"/>
            <w:tcBorders>
              <w:top w:val="dotted" w:color="000000" w:sz="2" w:space="0"/>
              <w:left w:val="dotted" w:color="000000" w:sz="2" w:space="0"/>
              <w:bottom w:val="nil"/>
              <w:right w:val="dotted" w:color="000000" w:sz="2" w:space="0"/>
              <w:tl2br w:val="nil"/>
              <w:tr2bl w:val="nil"/>
            </w:tcBorders>
            <w:noWrap/>
            <w:vAlign w:val="center"/>
          </w:tcPr>
          <w:p w14:paraId="2C01DB41">
            <w:pPr>
              <w:jc w:val="center"/>
              <w:rPr>
                <w:rFonts w:ascii="宋体" w:eastAsia="宋体" w:cs="Lucida Sans"/>
                <w:b/>
                <w:i w:val="0"/>
                <w:color w:val="000000"/>
                <w:sz w:val="16"/>
              </w:rPr>
            </w:pPr>
            <w:r>
              <w:rPr>
                <w:rFonts w:ascii="宋体" w:eastAsia="宋体" w:cs="Lucida Sans"/>
                <w:b/>
                <w:i w:val="0"/>
                <w:color w:val="000000"/>
                <w:sz w:val="16"/>
              </w:rPr>
              <w:t>类别</w:t>
            </w:r>
          </w:p>
        </w:tc>
        <w:tc>
          <w:tcPr>
            <w:tcW w:w="1340" w:type="dxa"/>
            <w:gridSpan w:val="2"/>
            <w:tcBorders>
              <w:top w:val="dotted" w:color="000000" w:sz="2" w:space="0"/>
              <w:left w:val="dotted" w:color="000000" w:sz="2" w:space="0"/>
              <w:bottom w:val="nil"/>
              <w:right w:val="dotted" w:color="000000" w:sz="2" w:space="0"/>
              <w:tl2br w:val="nil"/>
              <w:tr2bl w:val="nil"/>
            </w:tcBorders>
            <w:noWrap/>
            <w:vAlign w:val="center"/>
          </w:tcPr>
          <w:p w14:paraId="258DBD32">
            <w:pPr>
              <w:jc w:val="center"/>
              <w:rPr>
                <w:rFonts w:ascii="宋体" w:eastAsia="宋体" w:cs="Lucida Sans"/>
                <w:b/>
                <w:i w:val="0"/>
                <w:color w:val="000000"/>
                <w:sz w:val="16"/>
              </w:rPr>
            </w:pPr>
            <w:r>
              <w:rPr>
                <w:rFonts w:ascii="宋体" w:eastAsia="宋体" w:cs="Lucida Sans"/>
                <w:b/>
                <w:i w:val="0"/>
                <w:color w:val="000000"/>
                <w:sz w:val="16"/>
              </w:rPr>
              <w:t>供水单价</w:t>
            </w:r>
          </w:p>
        </w:tc>
        <w:tc>
          <w:tcPr>
            <w:tcW w:w="1087" w:type="dxa"/>
            <w:tcBorders>
              <w:top w:val="dotted" w:color="000000" w:sz="2" w:space="0"/>
              <w:left w:val="dotted" w:color="000000" w:sz="2" w:space="0"/>
              <w:bottom w:val="nil"/>
              <w:right w:val="dotted" w:color="000000" w:sz="2" w:space="0"/>
              <w:tl2br w:val="nil"/>
              <w:tr2bl w:val="nil"/>
            </w:tcBorders>
            <w:noWrap/>
            <w:vAlign w:val="center"/>
          </w:tcPr>
          <w:p w14:paraId="55B96F76">
            <w:pPr>
              <w:jc w:val="center"/>
              <w:rPr>
                <w:rFonts w:ascii="宋体" w:eastAsia="宋体" w:cs="Lucida Sans"/>
                <w:b/>
                <w:i w:val="0"/>
                <w:color w:val="000000"/>
                <w:sz w:val="16"/>
              </w:rPr>
            </w:pPr>
            <w:r>
              <w:rPr>
                <w:rFonts w:ascii="宋体" w:eastAsia="宋体" w:cs="Lucida Sans"/>
                <w:b/>
                <w:i w:val="0"/>
                <w:color w:val="000000"/>
                <w:sz w:val="16"/>
              </w:rPr>
              <w:t>水资源税</w:t>
            </w:r>
          </w:p>
        </w:tc>
        <w:tc>
          <w:tcPr>
            <w:tcW w:w="1313" w:type="dxa"/>
            <w:tcBorders>
              <w:top w:val="dotted" w:color="000000" w:sz="2" w:space="0"/>
              <w:left w:val="dotted" w:color="000000" w:sz="2" w:space="0"/>
              <w:bottom w:val="nil"/>
              <w:right w:val="dotted" w:color="000000" w:sz="2" w:space="0"/>
              <w:tl2br w:val="nil"/>
              <w:tr2bl w:val="nil"/>
            </w:tcBorders>
            <w:noWrap/>
            <w:vAlign w:val="center"/>
          </w:tcPr>
          <w:p w14:paraId="2AF36488">
            <w:pPr>
              <w:jc w:val="center"/>
              <w:rPr>
                <w:rFonts w:ascii="宋体" w:eastAsia="宋体" w:cs="Lucida Sans"/>
                <w:b/>
                <w:i w:val="0"/>
                <w:color w:val="000000"/>
                <w:sz w:val="16"/>
              </w:rPr>
            </w:pPr>
            <w:r>
              <w:rPr>
                <w:rFonts w:ascii="宋体" w:eastAsia="宋体" w:cs="Lucida Sans"/>
                <w:b/>
                <w:i w:val="0"/>
                <w:color w:val="000000"/>
                <w:sz w:val="16"/>
              </w:rPr>
              <w:t>拟定城镇供水到户价（不含污水处理费）</w:t>
            </w:r>
          </w:p>
        </w:tc>
        <w:tc>
          <w:tcPr>
            <w:tcW w:w="1286" w:type="dxa"/>
            <w:tcBorders>
              <w:top w:val="dotted" w:color="000000" w:sz="2" w:space="0"/>
              <w:left w:val="dotted" w:color="000000" w:sz="2" w:space="0"/>
              <w:bottom w:val="nil"/>
              <w:right w:val="dotted" w:color="000000" w:sz="2" w:space="0"/>
              <w:tl2br w:val="nil"/>
              <w:tr2bl w:val="nil"/>
            </w:tcBorders>
            <w:noWrap/>
            <w:vAlign w:val="center"/>
          </w:tcPr>
          <w:p w14:paraId="07EEFD42">
            <w:pPr>
              <w:jc w:val="center"/>
              <w:rPr>
                <w:rFonts w:hint="eastAsia" w:ascii="宋体" w:eastAsia="宋体" w:cs="Lucida Sans"/>
                <w:b/>
                <w:i w:val="0"/>
                <w:color w:val="000000"/>
                <w:sz w:val="16"/>
                <w:lang w:eastAsia="zh-CN"/>
              </w:rPr>
            </w:pPr>
            <w:r>
              <w:rPr>
                <w:rFonts w:hint="eastAsia" w:ascii="宋体" w:eastAsia="宋体" w:cs="Lucida Sans"/>
                <w:b/>
                <w:i w:val="0"/>
                <w:color w:val="000000"/>
                <w:sz w:val="16"/>
                <w:lang w:val="en-US" w:eastAsia="zh-CN"/>
              </w:rPr>
              <w:t>备注</w:t>
            </w:r>
          </w:p>
        </w:tc>
      </w:tr>
      <w:tr w14:paraId="172CA66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3" w:hRule="atLeast"/>
        </w:trPr>
        <w:tc>
          <w:tcPr>
            <w:tcW w:w="99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/>
            <w:vAlign w:val="center"/>
          </w:tcPr>
          <w:p w14:paraId="0041D471">
            <w:pPr>
              <w:rPr>
                <w:rFonts w:ascii="宋体" w:eastAsia="宋体" w:cs="Lucida Sans"/>
                <w:color w:val="000000"/>
                <w:sz w:val="16"/>
              </w:rPr>
            </w:pPr>
            <w:r>
              <w:rPr>
                <w:rFonts w:ascii="宋体" w:eastAsia="宋体" w:cs="Lucida Sans"/>
                <w:color w:val="000000"/>
                <w:sz w:val="16"/>
              </w:rPr>
              <w:t>居民生活用水</w:t>
            </w:r>
          </w:p>
        </w:tc>
        <w:tc>
          <w:tcPr>
            <w:tcW w:w="293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/>
            <w:vAlign w:val="center"/>
          </w:tcPr>
          <w:p w14:paraId="2D0288B0">
            <w:pPr>
              <w:rPr>
                <w:rFonts w:ascii="宋体" w:eastAsia="宋体" w:cs="Lucida Sans"/>
                <w:color w:val="000000"/>
                <w:sz w:val="16"/>
              </w:rPr>
            </w:pPr>
            <w:r>
              <w:rPr>
                <w:rFonts w:ascii="宋体" w:eastAsia="宋体" w:cs="Lucida Sans"/>
                <w:color w:val="000000"/>
                <w:sz w:val="16"/>
              </w:rPr>
              <w:t>1.居民住宅家庭生活用水。2.学校教学和学生生活用水执行范围为：归属师市教育系统管辖的各类公立学校（幼儿园、小学、中学、高中、职业中学、职业技术学院等）。不含各类事业性质学校（如党校、法制培训学校）、社会营利性教学机构（如培训机构、驾校等）。3.养老机构用水执行范围为：辖区内公立及非盈利性养老院。4.残疾人托养机构执行范围为：辖区内残疾人托养（日间照料）服务中心。5.托育机构执行范围为：辖区内普惠性托育机构。6.宗教场所执行范围为：辖区内清真寺等依法登记的宗教活动场所。7.社区组织工作用房及居民公益性服务设施用水执行范围为：社区居委会（连队）办公用水、社区活动中心、公共图书馆、免费公厕、公共体育馆等。</w:t>
            </w:r>
          </w:p>
        </w:tc>
        <w:tc>
          <w:tcPr>
            <w:tcW w:w="10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/>
            <w:vAlign w:val="center"/>
          </w:tcPr>
          <w:p w14:paraId="40F22B5A">
            <w:pPr>
              <w:jc w:val="center"/>
              <w:rPr>
                <w:rFonts w:ascii="宋体" w:eastAsia="宋体" w:cs="Lucida Sans"/>
                <w:color w:val="000000"/>
                <w:sz w:val="16"/>
              </w:rPr>
            </w:pPr>
            <w:r>
              <w:rPr>
                <w:rFonts w:ascii="宋体" w:eastAsia="宋体" w:cs="Lucida Sans"/>
                <w:color w:val="000000"/>
                <w:sz w:val="16"/>
              </w:rPr>
              <w:t>1.6</w:t>
            </w:r>
          </w:p>
        </w:tc>
        <w:tc>
          <w:tcPr>
            <w:tcW w:w="1422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/>
            <w:vAlign w:val="center"/>
          </w:tcPr>
          <w:p w14:paraId="7ADFD196">
            <w:pPr>
              <w:jc w:val="center"/>
              <w:rPr>
                <w:rFonts w:ascii="宋体" w:eastAsia="宋体" w:cs="Lucida Sans"/>
                <w:color w:val="000000"/>
                <w:sz w:val="16"/>
              </w:rPr>
            </w:pPr>
            <w:r>
              <w:rPr>
                <w:rFonts w:ascii="宋体" w:eastAsia="宋体" w:cs="Lucida Sans"/>
                <w:color w:val="000000"/>
                <w:sz w:val="16"/>
              </w:rPr>
              <w:t>0.06</w:t>
            </w:r>
          </w:p>
        </w:tc>
        <w:tc>
          <w:tcPr>
            <w:tcW w:w="13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/>
            <w:vAlign w:val="center"/>
          </w:tcPr>
          <w:p w14:paraId="6490C12F">
            <w:pPr>
              <w:jc w:val="center"/>
              <w:rPr>
                <w:rFonts w:ascii="宋体" w:eastAsia="宋体" w:cs="Lucida Sans"/>
                <w:color w:val="000000"/>
                <w:sz w:val="16"/>
              </w:rPr>
            </w:pPr>
            <w:r>
              <w:rPr>
                <w:rFonts w:ascii="宋体" w:eastAsia="宋体" w:cs="Lucida Sans"/>
                <w:color w:val="000000"/>
                <w:sz w:val="16"/>
              </w:rPr>
              <w:t>1.66</w:t>
            </w:r>
          </w:p>
        </w:tc>
        <w:tc>
          <w:tcPr>
            <w:tcW w:w="128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/>
            <w:vAlign w:val="center"/>
          </w:tcPr>
          <w:p w14:paraId="053BE202">
            <w:pPr>
              <w:rPr>
                <w:rFonts w:ascii="宋体" w:eastAsia="宋体" w:cs="Lucida Sans"/>
                <w:color w:val="000000"/>
                <w:sz w:val="16"/>
              </w:rPr>
            </w:pPr>
          </w:p>
        </w:tc>
      </w:tr>
      <w:tr w14:paraId="5D0C6E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5" w:hRule="atLeast"/>
        </w:trPr>
        <w:tc>
          <w:tcPr>
            <w:tcW w:w="992" w:type="dxa"/>
            <w:vMerge w:val="restar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/>
            <w:vAlign w:val="center"/>
          </w:tcPr>
          <w:p w14:paraId="5C842B35">
            <w:pPr>
              <w:rPr>
                <w:rFonts w:ascii="宋体" w:eastAsia="宋体" w:cs="Lucida Sans"/>
                <w:color w:val="000000"/>
                <w:sz w:val="16"/>
              </w:rPr>
            </w:pPr>
            <w:r>
              <w:rPr>
                <w:rFonts w:ascii="宋体" w:eastAsia="宋体" w:cs="Lucida Sans"/>
                <w:color w:val="000000"/>
                <w:sz w:val="16"/>
              </w:rPr>
              <w:t>非居民用水</w:t>
            </w:r>
          </w:p>
        </w:tc>
        <w:tc>
          <w:tcPr>
            <w:tcW w:w="293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/>
            <w:vAlign w:val="center"/>
          </w:tcPr>
          <w:p w14:paraId="4264BAFD">
            <w:pPr>
              <w:rPr>
                <w:rFonts w:ascii="宋体" w:eastAsia="宋体" w:cs="Lucida Sans"/>
                <w:color w:val="000000"/>
                <w:sz w:val="16"/>
              </w:rPr>
            </w:pPr>
            <w:r>
              <w:rPr>
                <w:rFonts w:ascii="宋体" w:eastAsia="宋体" w:cs="Lucida Sans"/>
                <w:color w:val="000000"/>
                <w:sz w:val="16"/>
              </w:rPr>
              <w:t>工业、一般工商业、行政事业单位等</w:t>
            </w:r>
          </w:p>
        </w:tc>
        <w:tc>
          <w:tcPr>
            <w:tcW w:w="10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/>
            <w:vAlign w:val="center"/>
          </w:tcPr>
          <w:p w14:paraId="193EB741">
            <w:pPr>
              <w:jc w:val="center"/>
              <w:rPr>
                <w:rFonts w:ascii="宋体" w:eastAsia="宋体" w:cs="Lucida Sans"/>
                <w:color w:val="000000"/>
                <w:sz w:val="16"/>
              </w:rPr>
            </w:pPr>
            <w:r>
              <w:rPr>
                <w:rFonts w:ascii="宋体" w:eastAsia="宋体" w:cs="Lucida Sans"/>
                <w:color w:val="000000"/>
                <w:sz w:val="16"/>
              </w:rPr>
              <w:t>3.02</w:t>
            </w:r>
          </w:p>
        </w:tc>
        <w:tc>
          <w:tcPr>
            <w:tcW w:w="1422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/>
            <w:vAlign w:val="center"/>
          </w:tcPr>
          <w:p w14:paraId="2B8BF821">
            <w:pPr>
              <w:jc w:val="center"/>
              <w:rPr>
                <w:rFonts w:ascii="宋体" w:eastAsia="宋体" w:cs="Lucida Sans"/>
                <w:color w:val="000000"/>
                <w:sz w:val="16"/>
              </w:rPr>
            </w:pPr>
            <w:r>
              <w:rPr>
                <w:rFonts w:ascii="宋体" w:eastAsia="宋体" w:cs="Lucida Sans"/>
                <w:color w:val="000000"/>
                <w:sz w:val="16"/>
              </w:rPr>
              <w:t>0.06</w:t>
            </w:r>
          </w:p>
        </w:tc>
        <w:tc>
          <w:tcPr>
            <w:tcW w:w="13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/>
            <w:vAlign w:val="center"/>
          </w:tcPr>
          <w:p w14:paraId="7CEDFF48">
            <w:pPr>
              <w:jc w:val="center"/>
              <w:rPr>
                <w:rFonts w:ascii="宋体" w:eastAsia="宋体" w:cs="Lucida Sans"/>
                <w:color w:val="000000"/>
                <w:sz w:val="16"/>
              </w:rPr>
            </w:pPr>
            <w:r>
              <w:rPr>
                <w:rFonts w:ascii="宋体" w:eastAsia="宋体" w:cs="Lucida Sans"/>
                <w:color w:val="000000"/>
                <w:sz w:val="16"/>
              </w:rPr>
              <w:t>3.08</w:t>
            </w:r>
          </w:p>
        </w:tc>
        <w:tc>
          <w:tcPr>
            <w:tcW w:w="128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/>
            <w:vAlign w:val="center"/>
          </w:tcPr>
          <w:p w14:paraId="32F752E7">
            <w:pPr>
              <w:rPr>
                <w:rFonts w:ascii="宋体" w:eastAsia="宋体"/>
                <w:color w:val="000000"/>
                <w:sz w:val="16"/>
              </w:rPr>
            </w:pPr>
          </w:p>
        </w:tc>
      </w:tr>
      <w:tr w14:paraId="36BA483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5" w:hRule="atLeast"/>
        </w:trPr>
        <w:tc>
          <w:tcPr>
            <w:tcW w:w="992" w:type="dxa"/>
            <w:vMerge w:val="continue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/>
            <w:vAlign w:val="center"/>
          </w:tcPr>
          <w:p w14:paraId="10A3876E"/>
        </w:tc>
        <w:tc>
          <w:tcPr>
            <w:tcW w:w="293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/>
            <w:vAlign w:val="center"/>
          </w:tcPr>
          <w:p w14:paraId="550CBEDE">
            <w:pPr>
              <w:rPr>
                <w:rFonts w:ascii="宋体" w:eastAsia="宋体" w:cs="Lucida Sans"/>
                <w:color w:val="000000"/>
                <w:sz w:val="16"/>
              </w:rPr>
            </w:pPr>
            <w:r>
              <w:rPr>
                <w:rFonts w:ascii="宋体" w:eastAsia="宋体" w:cs="Lucida Sans"/>
                <w:color w:val="000000"/>
                <w:sz w:val="16"/>
              </w:rPr>
              <w:t>监狱监区</w:t>
            </w:r>
          </w:p>
        </w:tc>
        <w:tc>
          <w:tcPr>
            <w:tcW w:w="10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/>
            <w:vAlign w:val="center"/>
          </w:tcPr>
          <w:p w14:paraId="3895F906">
            <w:pPr>
              <w:jc w:val="center"/>
              <w:rPr>
                <w:rFonts w:ascii="宋体" w:eastAsia="宋体" w:cs="Lucida Sans"/>
                <w:color w:val="000000"/>
                <w:sz w:val="16"/>
              </w:rPr>
            </w:pPr>
            <w:r>
              <w:rPr>
                <w:rFonts w:ascii="宋体" w:eastAsia="宋体" w:cs="Lucida Sans"/>
                <w:color w:val="000000"/>
                <w:sz w:val="16"/>
              </w:rPr>
              <w:t>2</w:t>
            </w:r>
          </w:p>
        </w:tc>
        <w:tc>
          <w:tcPr>
            <w:tcW w:w="1422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/>
            <w:vAlign w:val="center"/>
          </w:tcPr>
          <w:p w14:paraId="610213E5">
            <w:pPr>
              <w:jc w:val="center"/>
              <w:rPr>
                <w:rFonts w:ascii="宋体" w:eastAsia="宋体" w:cs="Lucida Sans"/>
                <w:color w:val="000000"/>
                <w:sz w:val="16"/>
              </w:rPr>
            </w:pPr>
            <w:r>
              <w:rPr>
                <w:rFonts w:ascii="宋体" w:eastAsia="宋体" w:cs="Lucida Sans"/>
                <w:color w:val="000000"/>
                <w:sz w:val="16"/>
              </w:rPr>
              <w:t>0.06</w:t>
            </w:r>
          </w:p>
        </w:tc>
        <w:tc>
          <w:tcPr>
            <w:tcW w:w="13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/>
            <w:vAlign w:val="center"/>
          </w:tcPr>
          <w:p w14:paraId="1D50FBB0">
            <w:pPr>
              <w:jc w:val="center"/>
              <w:rPr>
                <w:rFonts w:ascii="宋体" w:eastAsia="宋体" w:cs="Lucida Sans"/>
                <w:color w:val="000000"/>
                <w:sz w:val="16"/>
              </w:rPr>
            </w:pPr>
            <w:r>
              <w:rPr>
                <w:rFonts w:ascii="宋体" w:eastAsia="宋体" w:cs="Lucida Sans"/>
                <w:color w:val="000000"/>
                <w:sz w:val="16"/>
              </w:rPr>
              <w:t>2.06</w:t>
            </w:r>
          </w:p>
        </w:tc>
        <w:tc>
          <w:tcPr>
            <w:tcW w:w="128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/>
            <w:vAlign w:val="center"/>
          </w:tcPr>
          <w:p w14:paraId="389D2CAB">
            <w:pPr>
              <w:rPr>
                <w:rFonts w:ascii="宋体" w:eastAsia="宋体" w:cs="Lucida Sans"/>
                <w:color w:val="000000"/>
                <w:sz w:val="16"/>
              </w:rPr>
            </w:pPr>
          </w:p>
        </w:tc>
      </w:tr>
      <w:tr w14:paraId="103902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</w:trPr>
        <w:tc>
          <w:tcPr>
            <w:tcW w:w="992" w:type="dxa"/>
            <w:vMerge w:val="continue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/>
            <w:vAlign w:val="center"/>
          </w:tcPr>
          <w:p w14:paraId="22FAB44D"/>
        </w:tc>
        <w:tc>
          <w:tcPr>
            <w:tcW w:w="293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/>
            <w:vAlign w:val="center"/>
          </w:tcPr>
          <w:p w14:paraId="16D6751E">
            <w:pPr>
              <w:rPr>
                <w:rFonts w:ascii="宋体" w:eastAsia="宋体" w:cs="Lucida Sans"/>
                <w:color w:val="000000"/>
                <w:sz w:val="16"/>
              </w:rPr>
            </w:pPr>
            <w:r>
              <w:rPr>
                <w:rFonts w:ascii="宋体" w:eastAsia="宋体" w:cs="Lucida Sans"/>
                <w:color w:val="000000"/>
                <w:sz w:val="16"/>
              </w:rPr>
              <w:t>消防、绿化</w:t>
            </w:r>
          </w:p>
        </w:tc>
        <w:tc>
          <w:tcPr>
            <w:tcW w:w="10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/>
            <w:vAlign w:val="center"/>
          </w:tcPr>
          <w:p w14:paraId="7CA7E58D">
            <w:pPr>
              <w:jc w:val="center"/>
              <w:rPr>
                <w:rFonts w:ascii="宋体" w:eastAsia="宋体" w:cs="Lucida Sans"/>
                <w:color w:val="000000"/>
                <w:sz w:val="16"/>
              </w:rPr>
            </w:pPr>
            <w:r>
              <w:rPr>
                <w:rFonts w:ascii="宋体" w:eastAsia="宋体" w:cs="Lucida Sans"/>
                <w:color w:val="000000"/>
                <w:sz w:val="16"/>
              </w:rPr>
              <w:t>1</w:t>
            </w:r>
          </w:p>
        </w:tc>
        <w:tc>
          <w:tcPr>
            <w:tcW w:w="1422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/>
            <w:vAlign w:val="center"/>
          </w:tcPr>
          <w:p w14:paraId="397439B4">
            <w:pPr>
              <w:jc w:val="center"/>
              <w:rPr>
                <w:rFonts w:ascii="宋体" w:eastAsia="宋体" w:cs="Lucida Sans"/>
                <w:color w:val="000000"/>
                <w:sz w:val="16"/>
              </w:rPr>
            </w:pPr>
            <w:r>
              <w:rPr>
                <w:rFonts w:ascii="宋体" w:eastAsia="宋体" w:cs="Lucida Sans"/>
                <w:color w:val="000000"/>
                <w:sz w:val="16"/>
              </w:rPr>
              <w:t>0.06</w:t>
            </w:r>
          </w:p>
        </w:tc>
        <w:tc>
          <w:tcPr>
            <w:tcW w:w="13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/>
            <w:vAlign w:val="center"/>
          </w:tcPr>
          <w:p w14:paraId="63FF0D6E">
            <w:pPr>
              <w:jc w:val="center"/>
              <w:rPr>
                <w:rFonts w:ascii="宋体" w:eastAsia="宋体" w:cs="Lucida Sans"/>
                <w:color w:val="000000"/>
                <w:sz w:val="16"/>
              </w:rPr>
            </w:pPr>
            <w:r>
              <w:rPr>
                <w:rFonts w:ascii="宋体" w:eastAsia="宋体" w:cs="Lucida Sans"/>
                <w:color w:val="000000"/>
                <w:sz w:val="16"/>
              </w:rPr>
              <w:t>1.06</w:t>
            </w:r>
          </w:p>
        </w:tc>
        <w:tc>
          <w:tcPr>
            <w:tcW w:w="128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/>
            <w:vAlign w:val="center"/>
          </w:tcPr>
          <w:p w14:paraId="6554B72B">
            <w:pPr>
              <w:rPr>
                <w:rFonts w:ascii="宋体" w:eastAsia="宋体" w:cs="Lucida Sans"/>
                <w:color w:val="000000"/>
                <w:sz w:val="16"/>
              </w:rPr>
            </w:pPr>
          </w:p>
        </w:tc>
      </w:tr>
      <w:tr w14:paraId="448E14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0" w:hRule="atLeast"/>
        </w:trPr>
        <w:tc>
          <w:tcPr>
            <w:tcW w:w="99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/>
            <w:vAlign w:val="center"/>
          </w:tcPr>
          <w:p w14:paraId="6EB72EF3">
            <w:pPr>
              <w:rPr>
                <w:rFonts w:ascii="宋体" w:eastAsia="宋体" w:cs="Lucida Sans"/>
                <w:color w:val="000000"/>
                <w:sz w:val="16"/>
              </w:rPr>
            </w:pPr>
            <w:r>
              <w:rPr>
                <w:rFonts w:ascii="宋体" w:eastAsia="宋体" w:cs="Lucida Sans"/>
                <w:color w:val="000000"/>
                <w:sz w:val="16"/>
              </w:rPr>
              <w:t>特种用水</w:t>
            </w:r>
          </w:p>
        </w:tc>
        <w:tc>
          <w:tcPr>
            <w:tcW w:w="293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/>
            <w:vAlign w:val="center"/>
          </w:tcPr>
          <w:p w14:paraId="3B6A65FD">
            <w:pPr>
              <w:rPr>
                <w:rFonts w:ascii="宋体" w:eastAsia="宋体" w:cs="Lucida Sans"/>
                <w:color w:val="000000"/>
                <w:sz w:val="16"/>
              </w:rPr>
            </w:pPr>
            <w:r>
              <w:rPr>
                <w:rFonts w:ascii="宋体" w:eastAsia="宋体" w:cs="Lucida Sans"/>
                <w:color w:val="000000"/>
                <w:sz w:val="16"/>
              </w:rPr>
              <w:t>主要包括洗车、以水为原料的纯净水生产用水、洗浴用水等。</w:t>
            </w:r>
          </w:p>
        </w:tc>
        <w:tc>
          <w:tcPr>
            <w:tcW w:w="10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/>
            <w:vAlign w:val="center"/>
          </w:tcPr>
          <w:p w14:paraId="6FB06E79">
            <w:pPr>
              <w:jc w:val="center"/>
              <w:rPr>
                <w:rFonts w:ascii="宋体" w:eastAsia="宋体" w:cs="Lucida Sans"/>
                <w:color w:val="000000"/>
                <w:sz w:val="16"/>
              </w:rPr>
            </w:pPr>
            <w:r>
              <w:rPr>
                <w:rFonts w:ascii="宋体" w:eastAsia="宋体" w:cs="Lucida Sans"/>
                <w:color w:val="000000"/>
                <w:sz w:val="16"/>
              </w:rPr>
              <w:t>9.06</w:t>
            </w:r>
          </w:p>
        </w:tc>
        <w:tc>
          <w:tcPr>
            <w:tcW w:w="1422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/>
            <w:vAlign w:val="center"/>
          </w:tcPr>
          <w:p w14:paraId="2DEE6F4A">
            <w:pPr>
              <w:jc w:val="center"/>
              <w:rPr>
                <w:rFonts w:ascii="宋体" w:eastAsia="宋体" w:cs="Lucida Sans"/>
                <w:color w:val="000000"/>
                <w:sz w:val="16"/>
              </w:rPr>
            </w:pPr>
            <w:r>
              <w:rPr>
                <w:rFonts w:ascii="宋体" w:eastAsia="宋体" w:cs="Lucida Sans"/>
                <w:color w:val="000000"/>
                <w:sz w:val="16"/>
              </w:rPr>
              <w:t>0.06</w:t>
            </w:r>
          </w:p>
        </w:tc>
        <w:tc>
          <w:tcPr>
            <w:tcW w:w="13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/>
            <w:vAlign w:val="center"/>
          </w:tcPr>
          <w:p w14:paraId="183A1507">
            <w:pPr>
              <w:jc w:val="center"/>
              <w:rPr>
                <w:rFonts w:ascii="宋体" w:eastAsia="宋体" w:cs="Lucida Sans"/>
                <w:color w:val="000000"/>
                <w:sz w:val="16"/>
              </w:rPr>
            </w:pPr>
            <w:r>
              <w:rPr>
                <w:rFonts w:ascii="宋体" w:eastAsia="宋体" w:cs="Lucida Sans"/>
                <w:color w:val="000000"/>
                <w:sz w:val="16"/>
              </w:rPr>
              <w:t>9.12</w:t>
            </w:r>
          </w:p>
        </w:tc>
        <w:tc>
          <w:tcPr>
            <w:tcW w:w="128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/>
            <w:vAlign w:val="center"/>
          </w:tcPr>
          <w:p w14:paraId="279CEF05">
            <w:pPr>
              <w:rPr>
                <w:rFonts w:ascii="宋体" w:eastAsia="宋体" w:cs="Lucida Sans"/>
                <w:color w:val="000000"/>
                <w:sz w:val="16"/>
              </w:rPr>
            </w:pPr>
          </w:p>
        </w:tc>
      </w:tr>
    </w:tbl>
    <w:p w14:paraId="660F80DE">
      <w:pPr>
        <w:numPr>
          <w:ilvl w:val="0"/>
          <w:numId w:val="0"/>
        </w:numPr>
        <w:spacing w:line="360" w:lineRule="auto"/>
        <w:ind w:firstLine="480" w:firstLineChars="200"/>
        <w:rPr>
          <w:rFonts w:hint="eastAsia" w:ascii="楷体_GB2312" w:hAnsi="楷体_GB2312" w:eastAsia="楷体_GB2312" w:cs="楷体_GB2312"/>
          <w:bCs/>
          <w:color w:val="000000"/>
          <w:sz w:val="24"/>
          <w:szCs w:val="24"/>
          <w:shd w:val="clear" w:color="auto" w:fill="FFFFFF"/>
          <w:lang w:eastAsia="zh-CN"/>
        </w:rPr>
      </w:pPr>
      <w:r>
        <w:rPr>
          <w:rFonts w:hint="eastAsia" w:ascii="楷体_GB2312" w:hAnsi="楷体_GB2312" w:eastAsia="楷体_GB2312" w:cs="楷体_GB2312"/>
          <w:bCs/>
          <w:color w:val="000000"/>
          <w:sz w:val="24"/>
          <w:szCs w:val="24"/>
          <w:shd w:val="clear" w:color="auto" w:fill="FFFFFF"/>
          <w:lang w:eastAsia="zh-CN"/>
        </w:rPr>
        <w:t>注：</w:t>
      </w:r>
      <w:r>
        <w:rPr>
          <w:rFonts w:hint="eastAsia" w:ascii="楷体_GB2312" w:hAnsi="楷体_GB2312" w:eastAsia="楷体_GB2312" w:cs="楷体_GB2312"/>
          <w:bCs/>
          <w:color w:val="000000"/>
          <w:sz w:val="24"/>
          <w:szCs w:val="24"/>
          <w:shd w:val="clear" w:color="auto" w:fill="FFFFFF"/>
          <w:lang w:val="en-US" w:eastAsia="zh-CN"/>
        </w:rPr>
        <w:t>根据</w:t>
      </w:r>
      <w:r>
        <w:rPr>
          <w:rFonts w:hint="eastAsia" w:ascii="楷体_GB2312" w:hAnsi="楷体_GB2312" w:eastAsia="楷体_GB2312" w:cs="楷体_GB2312"/>
          <w:bCs/>
          <w:color w:val="000000"/>
          <w:sz w:val="24"/>
          <w:szCs w:val="24"/>
          <w:shd w:val="clear" w:color="auto" w:fill="FFFFFF"/>
        </w:rPr>
        <w:t>《国家发展改革委关于创新和完善促进绿色发展价格机制的意见》（发改价格规〔201</w:t>
      </w:r>
      <w:r>
        <w:rPr>
          <w:rFonts w:hint="eastAsia" w:ascii="楷体_GB2312" w:hAnsi="楷体_GB2312" w:eastAsia="楷体_GB2312" w:cs="楷体_GB2312"/>
          <w:bCs/>
          <w:color w:val="000000"/>
          <w:sz w:val="24"/>
          <w:szCs w:val="24"/>
          <w:shd w:val="clear" w:color="auto" w:fill="FFFFFF"/>
          <w:lang w:val="en-US" w:eastAsia="zh-CN"/>
        </w:rPr>
        <w:t>8</w:t>
      </w:r>
      <w:r>
        <w:rPr>
          <w:rFonts w:hint="eastAsia" w:ascii="楷体_GB2312" w:hAnsi="楷体_GB2312" w:eastAsia="楷体_GB2312" w:cs="楷体_GB2312"/>
          <w:bCs/>
          <w:color w:val="000000"/>
          <w:sz w:val="24"/>
          <w:szCs w:val="24"/>
          <w:shd w:val="clear" w:color="auto" w:fill="FFFFFF"/>
        </w:rPr>
        <w:t>〕</w:t>
      </w:r>
      <w:r>
        <w:rPr>
          <w:rFonts w:hint="eastAsia" w:ascii="楷体_GB2312" w:hAnsi="楷体_GB2312" w:eastAsia="楷体_GB2312" w:cs="楷体_GB2312"/>
          <w:bCs/>
          <w:color w:val="000000"/>
          <w:sz w:val="24"/>
          <w:szCs w:val="24"/>
          <w:shd w:val="clear" w:color="auto" w:fill="FFFFFF"/>
          <w:lang w:val="en-US" w:eastAsia="zh-CN"/>
        </w:rPr>
        <w:t>943</w:t>
      </w:r>
      <w:r>
        <w:rPr>
          <w:rFonts w:hint="eastAsia" w:ascii="楷体_GB2312" w:hAnsi="楷体_GB2312" w:eastAsia="楷体_GB2312" w:cs="楷体_GB2312"/>
          <w:bCs/>
          <w:color w:val="000000"/>
          <w:sz w:val="24"/>
          <w:szCs w:val="24"/>
          <w:shd w:val="clear" w:color="auto" w:fill="FFFFFF"/>
        </w:rPr>
        <w:t>号）</w:t>
      </w:r>
      <w:r>
        <w:rPr>
          <w:rFonts w:hint="eastAsia" w:ascii="楷体_GB2312" w:hAnsi="楷体_GB2312" w:eastAsia="楷体_GB2312" w:cs="楷体_GB2312"/>
          <w:bCs/>
          <w:color w:val="000000"/>
          <w:sz w:val="24"/>
          <w:szCs w:val="24"/>
          <w:shd w:val="clear" w:color="auto" w:fill="FFFFFF"/>
          <w:lang w:eastAsia="zh-CN"/>
        </w:rPr>
        <w:t>文件</w:t>
      </w:r>
      <w:r>
        <w:rPr>
          <w:rFonts w:hint="eastAsia" w:ascii="楷体_GB2312" w:hAnsi="楷体_GB2312" w:eastAsia="楷体_GB2312" w:cs="楷体_GB2312"/>
          <w:bCs/>
          <w:color w:val="000000"/>
          <w:sz w:val="24"/>
          <w:szCs w:val="24"/>
          <w:shd w:val="clear" w:color="auto" w:fill="FFFFFF"/>
          <w:lang w:val="en-US" w:eastAsia="zh-CN"/>
        </w:rPr>
        <w:t>规定</w:t>
      </w:r>
      <w:r>
        <w:rPr>
          <w:rFonts w:hint="eastAsia" w:ascii="楷体_GB2312" w:hAnsi="楷体_GB2312" w:eastAsia="楷体_GB2312" w:cs="楷体_GB2312"/>
          <w:bCs/>
          <w:color w:val="000000"/>
          <w:sz w:val="24"/>
          <w:szCs w:val="24"/>
          <w:shd w:val="clear" w:color="auto" w:fill="FFFFFF"/>
        </w:rPr>
        <w:t>进一步拉大特种用水与非居民用水的价差，缺水地区二者比价原则上不低于3:1</w:t>
      </w:r>
      <w:r>
        <w:rPr>
          <w:rFonts w:hint="eastAsia" w:ascii="楷体_GB2312" w:hAnsi="楷体_GB2312" w:eastAsia="楷体_GB2312" w:cs="楷体_GB2312"/>
          <w:bCs/>
          <w:color w:val="000000"/>
          <w:sz w:val="24"/>
          <w:szCs w:val="24"/>
          <w:shd w:val="clear" w:color="auto" w:fill="FFFFFF"/>
          <w:lang w:eastAsia="zh-CN"/>
        </w:rPr>
        <w:t>。</w:t>
      </w:r>
    </w:p>
    <w:p w14:paraId="0A077E8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64" w:firstLineChars="200"/>
        <w:jc w:val="left"/>
        <w:textAlignment w:val="auto"/>
        <w:rPr>
          <w:rFonts w:hint="default" w:ascii="仿宋_GB2312" w:hAnsi="仿宋_GB2312" w:eastAsia="仿宋_GB2312" w:cs="仿宋_GB2312"/>
          <w:spacing w:val="6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pacing w:val="6"/>
          <w:sz w:val="32"/>
          <w:szCs w:val="32"/>
          <w:highlight w:val="none"/>
          <w:lang w:val="en-US" w:eastAsia="zh-CN"/>
        </w:rPr>
        <w:t>（二）</w:t>
      </w:r>
      <w:r>
        <w:rPr>
          <w:rFonts w:hint="default" w:ascii="仿宋_GB2312" w:hAnsi="仿宋_GB2312" w:eastAsia="仿宋_GB2312" w:cs="仿宋_GB2312"/>
          <w:spacing w:val="6"/>
          <w:sz w:val="32"/>
          <w:szCs w:val="32"/>
          <w:highlight w:val="none"/>
          <w:lang w:val="en-US" w:eastAsia="zh-CN"/>
        </w:rPr>
        <w:t>居民生活用水实行阶梯价格制度</w:t>
      </w:r>
    </w:p>
    <w:p w14:paraId="640A4BB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64" w:firstLineChars="200"/>
        <w:jc w:val="left"/>
        <w:textAlignment w:val="auto"/>
        <w:rPr>
          <w:rFonts w:hint="default" w:ascii="仿宋_GB2312" w:hAnsi="仿宋_GB2312" w:eastAsia="仿宋_GB2312" w:cs="仿宋_GB2312"/>
          <w:spacing w:val="6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pacing w:val="6"/>
          <w:sz w:val="32"/>
          <w:szCs w:val="32"/>
          <w:highlight w:val="none"/>
          <w:lang w:val="en-US" w:eastAsia="zh-CN"/>
        </w:rPr>
        <w:t>根据《新疆维吾尔自治区城镇供水价格管理实施细则》（新发改规〔2024〕1号）：居民生活用水阶梯水价设置应当不少于三级，级差按 1:1.5:3 的比例执行。参照《关于推进我区城镇居民用水阶梯价格制度的实施意见》（新政办发〔2017〕198号）文件，城镇居民生活用水阶梯水价，水量按国家参考值2.6立方米∕人·月上浮20%确定，即3.12立方米/人·月，以居民家庭用户为单位，家庭户均人口为4人，对超过户均人口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pacing w:val="6"/>
          <w:sz w:val="32"/>
          <w:szCs w:val="32"/>
          <w:highlight w:val="none"/>
          <w:lang w:val="en-US" w:eastAsia="zh-CN"/>
        </w:rPr>
        <w:t>数量的家庭可按相关证明相应增加用水量。根据用水量阶梯水价分为三档，第一档水量价格按照规定价格执行，第二档水量价格按照规定价格的1.5倍执行，第三档水量价格按照规定价格的3倍执行。</w:t>
      </w:r>
      <w:r>
        <w:rPr>
          <w:rFonts w:hint="default" w:ascii="仿宋_GB2312" w:hAnsi="仿宋_GB2312" w:eastAsia="仿宋_GB2312" w:cs="仿宋_GB2312"/>
          <w:spacing w:val="6"/>
          <w:sz w:val="32"/>
          <w:szCs w:val="32"/>
          <w:highlight w:val="none"/>
          <w:lang w:val="en-US" w:eastAsia="zh-CN"/>
        </w:rPr>
        <w:t>具体如下：</w:t>
      </w:r>
    </w:p>
    <w:p w14:paraId="6B25A10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/>
        <w:jc w:val="center"/>
        <w:rPr>
          <w:rFonts w:ascii="Times New Roman" w:hAnsi="Times New Roman" w:eastAsia="方正仿宋_GBK" w:cs="Times New Roman"/>
          <w:b w:val="0"/>
          <w:bCs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eastAsia="方正仿宋_GBK" w:cs="Times New Roman"/>
          <w:b w:val="0"/>
          <w:bCs/>
          <w:color w:val="000000"/>
          <w:sz w:val="32"/>
          <w:szCs w:val="32"/>
          <w:shd w:val="clear" w:color="auto" w:fill="FFFFFF"/>
        </w:rPr>
        <w:t>居民生活用水阶梯水价表</w:t>
      </w:r>
    </w:p>
    <w:tbl>
      <w:tblPr>
        <w:tblStyle w:val="7"/>
        <w:tblW w:w="4523" w:type="pct"/>
        <w:tblInd w:w="455" w:type="dxa"/>
        <w:tblBorders>
          <w:top w:val="single" w:color="000000" w:sz="4" w:space="0"/>
          <w:left w:val="none" w:color="auto" w:sz="0" w:space="0"/>
          <w:bottom w:val="single" w:color="000000" w:sz="4" w:space="0"/>
          <w:right w:val="none" w:color="auto" w:sz="0" w:space="0"/>
          <w:insideH w:val="dotted" w:color="000000" w:sz="4" w:space="0"/>
          <w:insideV w:val="dotted" w:color="000000" w:sz="4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64"/>
        <w:gridCol w:w="2355"/>
        <w:gridCol w:w="1698"/>
        <w:gridCol w:w="2592"/>
      </w:tblGrid>
      <w:tr w14:paraId="64D1C217">
        <w:tblPrEx>
          <w:tblBorders>
            <w:top w:val="single" w:color="000000" w:sz="4" w:space="0"/>
            <w:left w:val="none" w:color="auto" w:sz="0" w:space="0"/>
            <w:bottom w:val="single" w:color="000000" w:sz="4" w:space="0"/>
            <w:right w:val="none" w:color="auto" w:sz="0" w:space="0"/>
            <w:insideH w:val="dotted" w:color="000000" w:sz="4" w:space="0"/>
            <w:insideV w:val="dotted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atLeast"/>
        </w:trPr>
        <w:tc>
          <w:tcPr>
            <w:tcW w:w="690" w:type="pct"/>
            <w:tcBorders>
              <w:top w:val="dotted" w:color="000000" w:sz="4" w:space="0"/>
              <w:left w:val="dotted" w:color="000000" w:sz="4" w:space="0"/>
              <w:bottom w:val="single" w:color="000000" w:sz="4" w:space="0"/>
              <w:right w:val="dotted" w:color="000000" w:sz="4" w:space="0"/>
              <w:tl2br w:val="nil"/>
              <w:tr2bl w:val="nil"/>
            </w:tcBorders>
            <w:shd w:val="clear" w:color="auto" w:fill="auto"/>
            <w:noWrap/>
            <w:vAlign w:val="center"/>
          </w:tcPr>
          <w:p w14:paraId="70C022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/>
              </w:rPr>
              <w:t>档次</w:t>
            </w:r>
          </w:p>
        </w:tc>
        <w:tc>
          <w:tcPr>
            <w:tcW w:w="1527" w:type="pct"/>
            <w:tcBorders>
              <w:top w:val="dotted" w:color="000000" w:sz="4" w:space="0"/>
              <w:left w:val="dotted" w:color="000000" w:sz="4" w:space="0"/>
              <w:bottom w:val="single" w:color="000000" w:sz="4" w:space="0"/>
              <w:right w:val="dotted" w:color="000000" w:sz="4" w:space="0"/>
              <w:tl2br w:val="nil"/>
              <w:tr2bl w:val="nil"/>
            </w:tcBorders>
            <w:shd w:val="clear" w:color="auto" w:fill="auto"/>
            <w:noWrap/>
            <w:vAlign w:val="center"/>
          </w:tcPr>
          <w:p w14:paraId="172518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/>
              </w:rPr>
              <w:t>水量标准</w:t>
            </w:r>
          </w:p>
        </w:tc>
        <w:tc>
          <w:tcPr>
            <w:tcW w:w="1101" w:type="pct"/>
            <w:tcBorders>
              <w:top w:val="dotted" w:color="000000" w:sz="4" w:space="0"/>
              <w:left w:val="dotted" w:color="000000" w:sz="4" w:space="0"/>
              <w:bottom w:val="single" w:color="000000" w:sz="4" w:space="0"/>
              <w:right w:val="dotted" w:color="000000" w:sz="4" w:space="0"/>
              <w:tl2br w:val="nil"/>
              <w:tr2bl w:val="nil"/>
            </w:tcBorders>
            <w:shd w:val="clear" w:color="auto" w:fill="auto"/>
            <w:noWrap/>
            <w:vAlign w:val="center"/>
          </w:tcPr>
          <w:p w14:paraId="174D6C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/>
              </w:rPr>
              <w:t>收费标准</w:t>
            </w:r>
          </w:p>
        </w:tc>
        <w:tc>
          <w:tcPr>
            <w:tcW w:w="1680" w:type="pct"/>
            <w:tcBorders>
              <w:top w:val="dotted" w:color="000000" w:sz="4" w:space="0"/>
              <w:left w:val="dotted" w:color="000000" w:sz="4" w:space="0"/>
              <w:bottom w:val="single" w:color="000000" w:sz="4" w:space="0"/>
              <w:right w:val="dotted" w:color="000000" w:sz="4" w:space="0"/>
              <w:tl2br w:val="nil"/>
              <w:tr2bl w:val="nil"/>
            </w:tcBorders>
            <w:shd w:val="clear" w:color="auto" w:fill="auto"/>
            <w:noWrap/>
            <w:vAlign w:val="center"/>
          </w:tcPr>
          <w:p w14:paraId="5827A2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/>
              </w:rPr>
              <w:t>供水价格（元/立方米）</w:t>
            </w:r>
          </w:p>
        </w:tc>
      </w:tr>
      <w:tr w14:paraId="0A6ABD08">
        <w:tblPrEx>
          <w:tblBorders>
            <w:top w:val="single" w:color="000000" w:sz="4" w:space="0"/>
            <w:left w:val="none" w:color="auto" w:sz="0" w:space="0"/>
            <w:bottom w:val="single" w:color="000000" w:sz="4" w:space="0"/>
            <w:right w:val="none" w:color="auto" w:sz="0" w:space="0"/>
            <w:insideH w:val="dotted" w:color="000000" w:sz="4" w:space="0"/>
            <w:insideV w:val="dotted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0" w:type="pct"/>
            <w:vMerge w:val="restart"/>
            <w:tcBorders>
              <w:top w:val="dotted" w:color="000000" w:sz="4" w:space="0"/>
              <w:left w:val="dotted" w:color="000000" w:sz="4" w:space="0"/>
              <w:bottom w:val="single" w:color="000000" w:sz="4" w:space="0"/>
              <w:right w:val="dotted" w:color="000000" w:sz="4" w:space="0"/>
              <w:tl2br w:val="nil"/>
              <w:tr2bl w:val="nil"/>
            </w:tcBorders>
            <w:shd w:val="clear" w:color="auto" w:fill="auto"/>
            <w:noWrap/>
            <w:vAlign w:val="center"/>
          </w:tcPr>
          <w:p w14:paraId="6CB4B7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/>
              </w:rPr>
              <w:t>第一档</w:t>
            </w:r>
          </w:p>
        </w:tc>
        <w:tc>
          <w:tcPr>
            <w:tcW w:w="1527" w:type="pct"/>
            <w:tcBorders>
              <w:top w:val="dotted" w:color="000000" w:sz="4" w:space="0"/>
              <w:left w:val="dotted" w:color="000000" w:sz="4" w:space="0"/>
              <w:bottom w:val="single" w:color="000000" w:sz="4" w:space="0"/>
              <w:right w:val="dotted" w:color="000000" w:sz="4" w:space="0"/>
              <w:tl2br w:val="nil"/>
              <w:tr2bl w:val="nil"/>
            </w:tcBorders>
            <w:shd w:val="clear" w:color="auto" w:fill="auto"/>
            <w:noWrap/>
            <w:vAlign w:val="center"/>
          </w:tcPr>
          <w:p w14:paraId="575C3B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/>
              </w:rPr>
              <w:t>基本水量</w:t>
            </w:r>
          </w:p>
        </w:tc>
        <w:tc>
          <w:tcPr>
            <w:tcW w:w="1101" w:type="pct"/>
            <w:vMerge w:val="restart"/>
            <w:tcBorders>
              <w:top w:val="dotted" w:color="000000" w:sz="4" w:space="0"/>
              <w:left w:val="dotted" w:color="000000" w:sz="4" w:space="0"/>
              <w:bottom w:val="single" w:color="000000" w:sz="4" w:space="0"/>
              <w:right w:val="dotted" w:color="000000" w:sz="4" w:space="0"/>
              <w:tl2br w:val="nil"/>
              <w:tr2bl w:val="nil"/>
            </w:tcBorders>
            <w:shd w:val="clear" w:color="auto" w:fill="auto"/>
            <w:noWrap/>
            <w:vAlign w:val="center"/>
          </w:tcPr>
          <w:p w14:paraId="772D91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/>
              </w:rPr>
              <w:t>按规定价格执行</w:t>
            </w:r>
          </w:p>
        </w:tc>
        <w:tc>
          <w:tcPr>
            <w:tcW w:w="1680" w:type="pct"/>
            <w:vMerge w:val="restart"/>
            <w:tcBorders>
              <w:top w:val="dotted" w:color="000000" w:sz="4" w:space="0"/>
              <w:left w:val="dotted" w:color="000000" w:sz="4" w:space="0"/>
              <w:bottom w:val="single" w:color="000000" w:sz="4" w:space="0"/>
              <w:right w:val="dotted" w:color="000000" w:sz="4" w:space="0"/>
              <w:tl2br w:val="nil"/>
              <w:tr2bl w:val="nil"/>
            </w:tcBorders>
            <w:shd w:val="clear" w:color="auto" w:fill="auto"/>
            <w:noWrap/>
            <w:vAlign w:val="center"/>
          </w:tcPr>
          <w:p w14:paraId="7938D5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/>
              </w:rPr>
              <w:t>1.6+0.06=1.66</w:t>
            </w:r>
          </w:p>
        </w:tc>
      </w:tr>
      <w:tr w14:paraId="19F53718">
        <w:tblPrEx>
          <w:tblBorders>
            <w:top w:val="single" w:color="000000" w:sz="4" w:space="0"/>
            <w:left w:val="none" w:color="auto" w:sz="0" w:space="0"/>
            <w:bottom w:val="single" w:color="000000" w:sz="4" w:space="0"/>
            <w:right w:val="none" w:color="auto" w:sz="0" w:space="0"/>
            <w:insideH w:val="dotted" w:color="000000" w:sz="4" w:space="0"/>
            <w:insideV w:val="dotted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0" w:type="pct"/>
            <w:vMerge w:val="continue"/>
            <w:tcBorders>
              <w:top w:val="dotted" w:color="000000" w:sz="4" w:space="0"/>
              <w:left w:val="dotted" w:color="000000" w:sz="4" w:space="0"/>
              <w:bottom w:val="single" w:color="000000" w:sz="4" w:space="0"/>
              <w:right w:val="dotted" w:color="000000" w:sz="4" w:space="0"/>
              <w:tl2br w:val="nil"/>
              <w:tr2bl w:val="nil"/>
            </w:tcBorders>
            <w:shd w:val="clear" w:color="auto" w:fill="auto"/>
            <w:noWrap/>
            <w:vAlign w:val="center"/>
          </w:tcPr>
          <w:p w14:paraId="56378695"/>
        </w:tc>
        <w:tc>
          <w:tcPr>
            <w:tcW w:w="1527" w:type="pct"/>
            <w:tcBorders>
              <w:top w:val="dotted" w:color="000000" w:sz="4" w:space="0"/>
              <w:left w:val="dotted" w:color="000000" w:sz="4" w:space="0"/>
              <w:bottom w:val="single" w:color="000000" w:sz="4" w:space="0"/>
              <w:right w:val="dotted" w:color="000000" w:sz="4" w:space="0"/>
              <w:tl2br w:val="nil"/>
              <w:tr2bl w:val="nil"/>
            </w:tcBorders>
            <w:shd w:val="clear" w:color="auto" w:fill="auto"/>
            <w:noWrap/>
            <w:vAlign w:val="center"/>
          </w:tcPr>
          <w:p w14:paraId="39009A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/>
              </w:rPr>
              <w:t>4人×3.12m³=12.48m³</w:t>
            </w:r>
          </w:p>
        </w:tc>
        <w:tc>
          <w:tcPr>
            <w:tcW w:w="1101" w:type="pct"/>
            <w:vMerge w:val="continue"/>
            <w:tcBorders>
              <w:top w:val="dotted" w:color="000000" w:sz="4" w:space="0"/>
              <w:left w:val="dotted" w:color="000000" w:sz="4" w:space="0"/>
              <w:bottom w:val="single" w:color="000000" w:sz="4" w:space="0"/>
              <w:right w:val="dotted" w:color="000000" w:sz="4" w:space="0"/>
              <w:tl2br w:val="nil"/>
              <w:tr2bl w:val="nil"/>
            </w:tcBorders>
            <w:shd w:val="clear" w:color="auto" w:fill="auto"/>
            <w:noWrap/>
            <w:vAlign w:val="center"/>
          </w:tcPr>
          <w:p w14:paraId="1AA5CA72"/>
        </w:tc>
        <w:tc>
          <w:tcPr>
            <w:tcW w:w="1680" w:type="pct"/>
            <w:vMerge w:val="continue"/>
            <w:tcBorders>
              <w:top w:val="dotted" w:color="000000" w:sz="4" w:space="0"/>
              <w:left w:val="dotted" w:color="000000" w:sz="4" w:space="0"/>
              <w:bottom w:val="single" w:color="000000" w:sz="4" w:space="0"/>
              <w:right w:val="dotted" w:color="000000" w:sz="4" w:space="0"/>
              <w:tl2br w:val="nil"/>
              <w:tr2bl w:val="nil"/>
            </w:tcBorders>
            <w:shd w:val="clear" w:color="auto" w:fill="auto"/>
            <w:noWrap/>
            <w:vAlign w:val="center"/>
          </w:tcPr>
          <w:p w14:paraId="2E113D5A"/>
        </w:tc>
      </w:tr>
      <w:tr w14:paraId="53009260">
        <w:tblPrEx>
          <w:tblBorders>
            <w:top w:val="single" w:color="000000" w:sz="4" w:space="0"/>
            <w:left w:val="none" w:color="auto" w:sz="0" w:space="0"/>
            <w:bottom w:val="single" w:color="000000" w:sz="4" w:space="0"/>
            <w:right w:val="none" w:color="auto" w:sz="0" w:space="0"/>
            <w:insideH w:val="dotted" w:color="000000" w:sz="4" w:space="0"/>
            <w:insideV w:val="dotted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0" w:type="pct"/>
            <w:vMerge w:val="restart"/>
            <w:tcBorders>
              <w:top w:val="dotted" w:color="000000" w:sz="4" w:space="0"/>
              <w:left w:val="dotted" w:color="000000" w:sz="4" w:space="0"/>
              <w:bottom w:val="single" w:color="000000" w:sz="4" w:space="0"/>
              <w:right w:val="dotted" w:color="000000" w:sz="4" w:space="0"/>
              <w:tl2br w:val="nil"/>
              <w:tr2bl w:val="nil"/>
            </w:tcBorders>
            <w:shd w:val="clear" w:color="auto" w:fill="auto"/>
            <w:noWrap/>
            <w:vAlign w:val="center"/>
          </w:tcPr>
          <w:p w14:paraId="25CB11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/>
              </w:rPr>
              <w:t>第二档</w:t>
            </w:r>
          </w:p>
        </w:tc>
        <w:tc>
          <w:tcPr>
            <w:tcW w:w="1527" w:type="pct"/>
            <w:tcBorders>
              <w:top w:val="dotted" w:color="000000" w:sz="4" w:space="0"/>
              <w:left w:val="dotted" w:color="000000" w:sz="4" w:space="0"/>
              <w:bottom w:val="single" w:color="000000" w:sz="4" w:space="0"/>
              <w:right w:val="dotted" w:color="000000" w:sz="4" w:space="0"/>
              <w:tl2br w:val="nil"/>
              <w:tr2bl w:val="nil"/>
            </w:tcBorders>
            <w:shd w:val="clear" w:color="auto" w:fill="auto"/>
            <w:noWrap/>
            <w:vAlign w:val="center"/>
          </w:tcPr>
          <w:p w14:paraId="3C900B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/>
              </w:rPr>
              <w:t>超出基本水量至两倍期间水量</w:t>
            </w:r>
          </w:p>
        </w:tc>
        <w:tc>
          <w:tcPr>
            <w:tcW w:w="1101" w:type="pct"/>
            <w:vMerge w:val="restart"/>
            <w:tcBorders>
              <w:top w:val="dotted" w:color="000000" w:sz="4" w:space="0"/>
              <w:left w:val="dotted" w:color="000000" w:sz="4" w:space="0"/>
              <w:bottom w:val="single" w:color="000000" w:sz="4" w:space="0"/>
              <w:right w:val="dotted" w:color="000000" w:sz="4" w:space="0"/>
              <w:tl2br w:val="nil"/>
              <w:tr2bl w:val="nil"/>
            </w:tcBorders>
            <w:shd w:val="clear" w:color="auto" w:fill="auto"/>
            <w:noWrap/>
            <w:vAlign w:val="center"/>
          </w:tcPr>
          <w:p w14:paraId="532021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/>
              </w:rPr>
              <w:t>按基础价1.5倍执行</w:t>
            </w:r>
          </w:p>
        </w:tc>
        <w:tc>
          <w:tcPr>
            <w:tcW w:w="1680" w:type="pct"/>
            <w:vMerge w:val="restart"/>
            <w:tcBorders>
              <w:top w:val="dotted" w:color="000000" w:sz="4" w:space="0"/>
              <w:left w:val="dotted" w:color="000000" w:sz="4" w:space="0"/>
              <w:bottom w:val="single" w:color="000000" w:sz="4" w:space="0"/>
              <w:right w:val="dotted" w:color="000000" w:sz="4" w:space="0"/>
              <w:tl2br w:val="nil"/>
              <w:tr2bl w:val="nil"/>
            </w:tcBorders>
            <w:shd w:val="clear" w:color="auto" w:fill="auto"/>
            <w:noWrap/>
            <w:vAlign w:val="center"/>
          </w:tcPr>
          <w:p w14:paraId="3DB548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/>
              </w:rPr>
              <w:t>1.6×1.5+0.06=2.46</w:t>
            </w:r>
          </w:p>
        </w:tc>
      </w:tr>
      <w:tr w14:paraId="7E63C84C">
        <w:tblPrEx>
          <w:tblBorders>
            <w:top w:val="single" w:color="000000" w:sz="4" w:space="0"/>
            <w:left w:val="none" w:color="auto" w:sz="0" w:space="0"/>
            <w:bottom w:val="single" w:color="000000" w:sz="4" w:space="0"/>
            <w:right w:val="none" w:color="auto" w:sz="0" w:space="0"/>
            <w:insideH w:val="dotted" w:color="000000" w:sz="4" w:space="0"/>
            <w:insideV w:val="dotted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0" w:type="pct"/>
            <w:vMerge w:val="continue"/>
            <w:tcBorders>
              <w:top w:val="dotted" w:color="000000" w:sz="4" w:space="0"/>
              <w:left w:val="dotted" w:color="000000" w:sz="4" w:space="0"/>
              <w:bottom w:val="single" w:color="000000" w:sz="4" w:space="0"/>
              <w:right w:val="dotted" w:color="000000" w:sz="4" w:space="0"/>
              <w:tl2br w:val="nil"/>
              <w:tr2bl w:val="nil"/>
            </w:tcBorders>
            <w:shd w:val="clear" w:color="auto" w:fill="auto"/>
            <w:noWrap/>
            <w:vAlign w:val="center"/>
          </w:tcPr>
          <w:p w14:paraId="139B7D04"/>
        </w:tc>
        <w:tc>
          <w:tcPr>
            <w:tcW w:w="1527" w:type="pct"/>
            <w:tcBorders>
              <w:top w:val="dotted" w:color="000000" w:sz="4" w:space="0"/>
              <w:left w:val="dotted" w:color="000000" w:sz="4" w:space="0"/>
              <w:bottom w:val="single" w:color="000000" w:sz="4" w:space="0"/>
              <w:right w:val="dotted" w:color="000000" w:sz="4" w:space="0"/>
              <w:tl2br w:val="nil"/>
              <w:tr2bl w:val="nil"/>
            </w:tcBorders>
            <w:shd w:val="clear" w:color="auto" w:fill="auto"/>
            <w:noWrap/>
            <w:vAlign w:val="center"/>
          </w:tcPr>
          <w:p w14:paraId="3EDDA6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/>
              </w:rPr>
              <w:t>12.48m³＜月用水量≤24.96m³</w:t>
            </w:r>
          </w:p>
        </w:tc>
        <w:tc>
          <w:tcPr>
            <w:tcW w:w="1101" w:type="pct"/>
            <w:vMerge w:val="continue"/>
            <w:tcBorders>
              <w:top w:val="dotted" w:color="000000" w:sz="4" w:space="0"/>
              <w:left w:val="dotted" w:color="000000" w:sz="4" w:space="0"/>
              <w:bottom w:val="single" w:color="000000" w:sz="4" w:space="0"/>
              <w:right w:val="dotted" w:color="000000" w:sz="4" w:space="0"/>
              <w:tl2br w:val="nil"/>
              <w:tr2bl w:val="nil"/>
            </w:tcBorders>
            <w:shd w:val="clear" w:color="auto" w:fill="auto"/>
            <w:noWrap/>
            <w:vAlign w:val="center"/>
          </w:tcPr>
          <w:p w14:paraId="3819E46A"/>
        </w:tc>
        <w:tc>
          <w:tcPr>
            <w:tcW w:w="1680" w:type="pct"/>
            <w:vMerge w:val="continue"/>
            <w:tcBorders>
              <w:top w:val="dotted" w:color="000000" w:sz="4" w:space="0"/>
              <w:left w:val="dotted" w:color="000000" w:sz="4" w:space="0"/>
              <w:bottom w:val="single" w:color="000000" w:sz="4" w:space="0"/>
              <w:right w:val="dotted" w:color="000000" w:sz="4" w:space="0"/>
              <w:tl2br w:val="nil"/>
              <w:tr2bl w:val="nil"/>
            </w:tcBorders>
            <w:shd w:val="clear" w:color="auto" w:fill="auto"/>
            <w:noWrap/>
            <w:vAlign w:val="center"/>
          </w:tcPr>
          <w:p w14:paraId="0BC508FD"/>
        </w:tc>
      </w:tr>
      <w:tr w14:paraId="02135E20">
        <w:tblPrEx>
          <w:tblBorders>
            <w:top w:val="single" w:color="000000" w:sz="4" w:space="0"/>
            <w:left w:val="none" w:color="auto" w:sz="0" w:space="0"/>
            <w:bottom w:val="single" w:color="000000" w:sz="4" w:space="0"/>
            <w:right w:val="none" w:color="auto" w:sz="0" w:space="0"/>
            <w:insideH w:val="dotted" w:color="000000" w:sz="4" w:space="0"/>
            <w:insideV w:val="dotted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90" w:type="pct"/>
            <w:tcBorders>
              <w:top w:val="dotted" w:color="000000" w:sz="4" w:space="0"/>
              <w:left w:val="dotted" w:color="000000" w:sz="4" w:space="0"/>
              <w:bottom w:val="single" w:color="000000" w:sz="4" w:space="0"/>
              <w:right w:val="dotted" w:color="000000" w:sz="4" w:space="0"/>
              <w:tl2br w:val="nil"/>
              <w:tr2bl w:val="nil"/>
            </w:tcBorders>
            <w:shd w:val="clear" w:color="auto" w:fill="auto"/>
            <w:noWrap/>
            <w:vAlign w:val="center"/>
          </w:tcPr>
          <w:p w14:paraId="4F8E9D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/>
              </w:rPr>
              <w:t>第三档</w:t>
            </w:r>
          </w:p>
        </w:tc>
        <w:tc>
          <w:tcPr>
            <w:tcW w:w="1527" w:type="pct"/>
            <w:tcBorders>
              <w:top w:val="dotted" w:color="000000" w:sz="4" w:space="0"/>
              <w:left w:val="dotted" w:color="000000" w:sz="4" w:space="0"/>
              <w:bottom w:val="single" w:color="000000" w:sz="4" w:space="0"/>
              <w:right w:val="dotted" w:color="000000" w:sz="4" w:space="0"/>
              <w:tl2br w:val="nil"/>
              <w:tr2bl w:val="nil"/>
            </w:tcBorders>
            <w:shd w:val="clear" w:color="auto" w:fill="auto"/>
            <w:noWrap/>
            <w:vAlign w:val="center"/>
          </w:tcPr>
          <w:p w14:paraId="2A7592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/>
              </w:rPr>
              <w:t>超过2倍基本水量的用水量</w:t>
            </w:r>
          </w:p>
        </w:tc>
        <w:tc>
          <w:tcPr>
            <w:tcW w:w="1101" w:type="pct"/>
            <w:tcBorders>
              <w:top w:val="dotted" w:color="000000" w:sz="4" w:space="0"/>
              <w:left w:val="dotted" w:color="000000" w:sz="4" w:space="0"/>
              <w:bottom w:val="single" w:color="000000" w:sz="4" w:space="0"/>
              <w:right w:val="dotted" w:color="000000" w:sz="4" w:space="0"/>
              <w:tl2br w:val="nil"/>
              <w:tr2bl w:val="nil"/>
            </w:tcBorders>
            <w:shd w:val="clear" w:color="auto" w:fill="auto"/>
            <w:noWrap/>
            <w:vAlign w:val="center"/>
          </w:tcPr>
          <w:p w14:paraId="2E9D4D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/>
              </w:rPr>
              <w:t>按基础价3倍执行</w:t>
            </w:r>
          </w:p>
        </w:tc>
        <w:tc>
          <w:tcPr>
            <w:tcW w:w="1680" w:type="pct"/>
            <w:tcBorders>
              <w:top w:val="dotted" w:color="000000" w:sz="4" w:space="0"/>
              <w:left w:val="dotted" w:color="000000" w:sz="4" w:space="0"/>
              <w:bottom w:val="single" w:color="000000" w:sz="4" w:space="0"/>
              <w:right w:val="dotted" w:color="000000" w:sz="4" w:space="0"/>
              <w:tl2br w:val="nil"/>
              <w:tr2bl w:val="nil"/>
            </w:tcBorders>
            <w:shd w:val="clear" w:color="auto" w:fill="auto"/>
            <w:noWrap/>
            <w:vAlign w:val="center"/>
          </w:tcPr>
          <w:p w14:paraId="6E67F5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/>
              </w:rPr>
              <w:t>1.6×3+0.06=4.86</w:t>
            </w:r>
          </w:p>
        </w:tc>
      </w:tr>
    </w:tbl>
    <w:p w14:paraId="44BCCAC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64" w:firstLineChars="200"/>
        <w:jc w:val="left"/>
        <w:textAlignment w:val="auto"/>
        <w:rPr>
          <w:rFonts w:hint="default" w:ascii="仿宋_GB2312" w:hAnsi="仿宋_GB2312" w:eastAsia="仿宋_GB2312" w:cs="仿宋_GB2312"/>
          <w:spacing w:val="6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pacing w:val="6"/>
          <w:sz w:val="32"/>
          <w:szCs w:val="32"/>
          <w:highlight w:val="none"/>
          <w:lang w:val="en-US" w:eastAsia="zh-CN"/>
        </w:rPr>
        <w:t>（三）</w:t>
      </w:r>
      <w:r>
        <w:rPr>
          <w:rFonts w:hint="default" w:ascii="仿宋_GB2312" w:hAnsi="仿宋_GB2312" w:eastAsia="仿宋_GB2312" w:cs="仿宋_GB2312"/>
          <w:spacing w:val="6"/>
          <w:sz w:val="32"/>
          <w:szCs w:val="32"/>
          <w:highlight w:val="none"/>
          <w:lang w:val="en-US" w:eastAsia="zh-CN"/>
        </w:rPr>
        <w:t>非居民用水及特种用水实行超定额累进加价</w:t>
      </w:r>
    </w:p>
    <w:p w14:paraId="5BB10F5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64" w:firstLineChars="200"/>
        <w:jc w:val="left"/>
        <w:textAlignment w:val="auto"/>
        <w:rPr>
          <w:rFonts w:hint="eastAsia" w:ascii="仿宋_GB2312" w:hAnsi="仿宋_GB2312" w:eastAsia="仿宋_GB2312" w:cs="仿宋_GB2312"/>
          <w:spacing w:val="6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pacing w:val="6"/>
          <w:sz w:val="32"/>
          <w:szCs w:val="32"/>
          <w:highlight w:val="none"/>
          <w:lang w:val="en-US" w:eastAsia="zh-CN"/>
        </w:rPr>
        <w:t>《新疆维吾尔自治区城镇供水价格管理实施细则》（新发改规〔2024〕1号）“城镇非居民用水及特种用水实行超定额累进加价制度，水量分为四档：一档为定额和计划用水量以内部分，执行规定的到户自来水价；二档为超出定额和计划用水量20%以内，超出部分在到户自来水价基础上加1倍征收；三档为超出定额和计划用水量20%及以上（含20%）、不足40%部分，超出部分加2倍征收；四档为超出定额和计划用水量40%及以上（含40%），超出部分加3倍征收，并可采取限供或停供等措施。</w:t>
      </w:r>
    </w:p>
    <w:p w14:paraId="6478F67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64" w:firstLineChars="200"/>
        <w:jc w:val="both"/>
        <w:textAlignment w:val="auto"/>
        <w:rPr>
          <w:rFonts w:hint="default" w:ascii="方正楷体_GBK" w:hAnsi="方正楷体_GBK" w:eastAsia="方正楷体_GBK" w:cs="方正楷体_GBK"/>
          <w:b/>
          <w:bCs/>
          <w:color w:val="auto"/>
          <w:spacing w:val="6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方正仿宋_GBK" w:cs="Times New Roman"/>
          <w:color w:val="000000"/>
          <w:spacing w:val="6"/>
          <w:sz w:val="32"/>
          <w:szCs w:val="32"/>
          <w:highlight w:val="none"/>
          <w:lang w:val="en-US" w:eastAsia="zh-CN"/>
        </w:rPr>
        <w:t>具体如下：</w:t>
      </w:r>
    </w:p>
    <w:p w14:paraId="16C936F3">
      <w:pPr>
        <w:keepNext w:val="0"/>
        <w:keepLines w:val="0"/>
        <w:pageBreakBefore w:val="0"/>
        <w:widowControl w:val="0"/>
        <w:wordWrap/>
        <w:overflowPunct/>
        <w:topLinePunct w:val="0"/>
        <w:bidi w:val="0"/>
        <w:spacing w:line="570" w:lineRule="exact"/>
        <w:ind w:left="420" w:leftChars="200"/>
        <w:jc w:val="center"/>
        <w:rPr>
          <w:rFonts w:ascii="Times New Roman" w:hAnsi="Times New Roman" w:eastAsia="方正仿宋_GBK" w:cs="Times New Roman"/>
          <w:b w:val="0"/>
          <w:bCs/>
          <w:color w:val="000000"/>
          <w:kern w:val="2"/>
          <w:sz w:val="32"/>
          <w:szCs w:val="32"/>
          <w:highlight w:val="none"/>
          <w:shd w:val="clear" w:color="auto" w:fill="FFFFFF"/>
          <w:lang w:val="en-US" w:eastAsia="zh-CN" w:bidi="ar-SA"/>
        </w:rPr>
      </w:pPr>
      <w:r>
        <w:rPr>
          <w:rFonts w:ascii="Times New Roman" w:hAnsi="Times New Roman" w:eastAsia="方正仿宋_GBK" w:cs="Times New Roman"/>
          <w:b w:val="0"/>
          <w:bCs/>
          <w:color w:val="000000"/>
          <w:kern w:val="2"/>
          <w:sz w:val="32"/>
          <w:szCs w:val="32"/>
          <w:highlight w:val="none"/>
          <w:shd w:val="clear" w:color="auto" w:fill="FFFFFF"/>
          <w:lang w:val="en-US" w:eastAsia="zh-CN" w:bidi="ar-SA"/>
        </w:rPr>
        <w:t>非居民用水超定额水价表</w:t>
      </w:r>
    </w:p>
    <w:tbl>
      <w:tblPr>
        <w:tblStyle w:val="7"/>
        <w:tblW w:w="4074" w:type="pct"/>
        <w:tblInd w:w="513" w:type="dxa"/>
        <w:tblBorders>
          <w:top w:val="single" w:color="000000" w:sz="4" w:space="0"/>
          <w:left w:val="none" w:color="auto" w:sz="0" w:space="0"/>
          <w:bottom w:val="single" w:color="000000" w:sz="4" w:space="0"/>
          <w:right w:val="none" w:color="auto" w:sz="0" w:space="0"/>
          <w:insideH w:val="dotted" w:color="000000" w:sz="4" w:space="0"/>
          <w:insideV w:val="dotted" w:color="000000" w:sz="4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6"/>
        <w:gridCol w:w="3336"/>
        <w:gridCol w:w="1496"/>
        <w:gridCol w:w="1896"/>
      </w:tblGrid>
      <w:tr w14:paraId="2482AA79">
        <w:tblPrEx>
          <w:tblBorders>
            <w:top w:val="single" w:color="000000" w:sz="4" w:space="0"/>
            <w:left w:val="none" w:color="auto" w:sz="0" w:space="0"/>
            <w:bottom w:val="single" w:color="000000" w:sz="4" w:space="0"/>
            <w:right w:val="none" w:color="auto" w:sz="0" w:space="0"/>
            <w:insideH w:val="dotted" w:color="000000" w:sz="4" w:space="0"/>
            <w:insideV w:val="dotted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487" w:type="pct"/>
            <w:vMerge w:val="restart"/>
            <w:tcBorders>
              <w:top w:val="dotted" w:color="000000" w:sz="4" w:space="0"/>
              <w:left w:val="dotted" w:color="000000" w:sz="4" w:space="0"/>
              <w:bottom w:val="single" w:color="000000" w:sz="4" w:space="0"/>
              <w:right w:val="dotted" w:color="000000" w:sz="4" w:space="0"/>
              <w:tl2br w:val="nil"/>
              <w:tr2bl w:val="nil"/>
            </w:tcBorders>
            <w:shd w:val="clear" w:color="auto" w:fill="auto"/>
            <w:noWrap/>
            <w:vAlign w:val="center"/>
          </w:tcPr>
          <w:p w14:paraId="5754F1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/>
              </w:rPr>
              <w:t>档次</w:t>
            </w:r>
          </w:p>
        </w:tc>
        <w:tc>
          <w:tcPr>
            <w:tcW w:w="2177" w:type="pct"/>
            <w:vMerge w:val="restart"/>
            <w:tcBorders>
              <w:top w:val="dotted" w:color="000000" w:sz="4" w:space="0"/>
              <w:left w:val="dotted" w:color="000000" w:sz="4" w:space="0"/>
              <w:bottom w:val="single" w:color="000000" w:sz="4" w:space="0"/>
              <w:right w:val="dotted" w:color="000000" w:sz="4" w:space="0"/>
              <w:tl2br w:val="nil"/>
              <w:tr2bl w:val="nil"/>
            </w:tcBorders>
            <w:shd w:val="clear" w:color="auto" w:fill="auto"/>
            <w:noWrap/>
            <w:vAlign w:val="center"/>
          </w:tcPr>
          <w:p w14:paraId="49C340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/>
              </w:rPr>
              <w:t>水量标准</w:t>
            </w:r>
          </w:p>
        </w:tc>
        <w:tc>
          <w:tcPr>
            <w:tcW w:w="1031" w:type="pct"/>
            <w:vMerge w:val="restart"/>
            <w:tcBorders>
              <w:top w:val="dotted" w:color="000000" w:sz="4" w:space="0"/>
              <w:left w:val="dotted" w:color="000000" w:sz="4" w:space="0"/>
              <w:bottom w:val="single" w:color="000000" w:sz="4" w:space="0"/>
              <w:right w:val="dotted" w:color="000000" w:sz="4" w:space="0"/>
              <w:tl2br w:val="nil"/>
              <w:tr2bl w:val="nil"/>
            </w:tcBorders>
            <w:shd w:val="clear" w:color="auto" w:fill="auto"/>
            <w:noWrap/>
            <w:vAlign w:val="center"/>
          </w:tcPr>
          <w:p w14:paraId="06B829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/>
              </w:rPr>
              <w:t>收费标准</w:t>
            </w:r>
          </w:p>
        </w:tc>
        <w:tc>
          <w:tcPr>
            <w:tcW w:w="1304" w:type="pct"/>
            <w:tcBorders>
              <w:top w:val="dotted" w:color="000000" w:sz="4" w:space="0"/>
              <w:left w:val="dotted" w:color="000000" w:sz="4" w:space="0"/>
              <w:bottom w:val="single" w:color="000000" w:sz="4" w:space="0"/>
              <w:right w:val="dotted" w:color="000000" w:sz="4" w:space="0"/>
              <w:tl2br w:val="nil"/>
              <w:tr2bl w:val="nil"/>
            </w:tcBorders>
            <w:shd w:val="clear" w:color="auto" w:fill="auto"/>
            <w:noWrap/>
            <w:vAlign w:val="center"/>
          </w:tcPr>
          <w:p w14:paraId="17871F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/>
              </w:rPr>
              <w:t>监狱水量在非居民</w:t>
            </w:r>
          </w:p>
        </w:tc>
      </w:tr>
      <w:tr w14:paraId="468E6B1D">
        <w:tblPrEx>
          <w:tblBorders>
            <w:top w:val="single" w:color="000000" w:sz="4" w:space="0"/>
            <w:left w:val="none" w:color="auto" w:sz="0" w:space="0"/>
            <w:bottom w:val="single" w:color="000000" w:sz="4" w:space="0"/>
            <w:right w:val="none" w:color="auto" w:sz="0" w:space="0"/>
            <w:insideH w:val="dotted" w:color="000000" w:sz="4" w:space="0"/>
            <w:insideV w:val="dotted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25" w:type="pct"/>
            <w:vMerge w:val="continue"/>
            <w:tcBorders>
              <w:top w:val="dotted" w:color="000000" w:sz="4" w:space="0"/>
              <w:left w:val="dotted" w:color="000000" w:sz="4" w:space="0"/>
              <w:bottom w:val="single" w:color="000000" w:sz="4" w:space="0"/>
              <w:right w:val="dotted" w:color="000000" w:sz="4" w:space="0"/>
              <w:tl2br w:val="nil"/>
              <w:tr2bl w:val="nil"/>
            </w:tcBorders>
            <w:shd w:val="clear" w:color="auto" w:fill="auto"/>
            <w:noWrap/>
            <w:vAlign w:val="center"/>
          </w:tcPr>
          <w:p w14:paraId="6ABDD0E3"/>
        </w:tc>
        <w:tc>
          <w:tcPr>
            <w:tcW w:w="1679" w:type="pct"/>
            <w:vMerge w:val="continue"/>
            <w:tcBorders>
              <w:top w:val="dotted" w:color="000000" w:sz="4" w:space="0"/>
              <w:left w:val="dotted" w:color="000000" w:sz="4" w:space="0"/>
              <w:bottom w:val="single" w:color="000000" w:sz="4" w:space="0"/>
              <w:right w:val="dotted" w:color="000000" w:sz="4" w:space="0"/>
              <w:tl2br w:val="nil"/>
              <w:tr2bl w:val="nil"/>
            </w:tcBorders>
            <w:shd w:val="clear" w:color="auto" w:fill="auto"/>
            <w:noWrap/>
            <w:vAlign w:val="center"/>
          </w:tcPr>
          <w:p w14:paraId="69966DD0"/>
        </w:tc>
        <w:tc>
          <w:tcPr>
            <w:tcW w:w="837" w:type="pct"/>
            <w:vMerge w:val="continue"/>
            <w:tcBorders>
              <w:top w:val="dotted" w:color="000000" w:sz="4" w:space="0"/>
              <w:left w:val="dotted" w:color="000000" w:sz="4" w:space="0"/>
              <w:bottom w:val="single" w:color="000000" w:sz="4" w:space="0"/>
              <w:right w:val="dotted" w:color="000000" w:sz="4" w:space="0"/>
              <w:tl2br w:val="nil"/>
              <w:tr2bl w:val="nil"/>
            </w:tcBorders>
            <w:shd w:val="clear" w:color="auto" w:fill="auto"/>
            <w:noWrap/>
            <w:vAlign w:val="center"/>
          </w:tcPr>
          <w:p w14:paraId="178CB1E7"/>
        </w:tc>
        <w:tc>
          <w:tcPr>
            <w:tcW w:w="1304" w:type="pct"/>
            <w:tcBorders>
              <w:top w:val="dotted" w:color="000000" w:sz="4" w:space="0"/>
              <w:left w:val="dotted" w:color="000000" w:sz="4" w:space="0"/>
              <w:bottom w:val="single" w:color="000000" w:sz="4" w:space="0"/>
              <w:right w:val="dotted" w:color="000000" w:sz="4" w:space="0"/>
              <w:tl2br w:val="nil"/>
              <w:tr2bl w:val="nil"/>
            </w:tcBorders>
            <w:shd w:val="clear" w:color="auto" w:fill="auto"/>
            <w:noWrap/>
            <w:vAlign w:val="center"/>
          </w:tcPr>
          <w:p w14:paraId="2F39C4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/>
              </w:rPr>
              <w:t>供水价格（元/立方米）</w:t>
            </w:r>
          </w:p>
        </w:tc>
      </w:tr>
      <w:tr w14:paraId="4C4EB4C7">
        <w:tblPrEx>
          <w:tblBorders>
            <w:top w:val="single" w:color="000000" w:sz="4" w:space="0"/>
            <w:left w:val="none" w:color="auto" w:sz="0" w:space="0"/>
            <w:bottom w:val="single" w:color="000000" w:sz="4" w:space="0"/>
            <w:right w:val="none" w:color="auto" w:sz="0" w:space="0"/>
            <w:insideH w:val="dotted" w:color="000000" w:sz="4" w:space="0"/>
            <w:insideV w:val="dotted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487" w:type="pct"/>
            <w:tcBorders>
              <w:top w:val="dotted" w:color="000000" w:sz="4" w:space="0"/>
              <w:left w:val="dotted" w:color="000000" w:sz="4" w:space="0"/>
              <w:bottom w:val="single" w:color="000000" w:sz="4" w:space="0"/>
              <w:right w:val="dotted" w:color="000000" w:sz="4" w:space="0"/>
              <w:tl2br w:val="nil"/>
              <w:tr2bl w:val="nil"/>
            </w:tcBorders>
            <w:shd w:val="clear" w:color="auto" w:fill="auto"/>
            <w:noWrap/>
            <w:vAlign w:val="center"/>
          </w:tcPr>
          <w:p w14:paraId="4DAF45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/>
              </w:rPr>
              <w:t>第一档</w:t>
            </w:r>
          </w:p>
        </w:tc>
        <w:tc>
          <w:tcPr>
            <w:tcW w:w="2177" w:type="pct"/>
            <w:tcBorders>
              <w:top w:val="dotted" w:color="000000" w:sz="4" w:space="0"/>
              <w:left w:val="dotted" w:color="000000" w:sz="4" w:space="0"/>
              <w:bottom w:val="single" w:color="000000" w:sz="4" w:space="0"/>
              <w:right w:val="dotted" w:color="000000" w:sz="4" w:space="0"/>
              <w:tl2br w:val="nil"/>
              <w:tr2bl w:val="nil"/>
            </w:tcBorders>
            <w:shd w:val="clear" w:color="auto" w:fill="auto"/>
            <w:noWrap/>
            <w:vAlign w:val="center"/>
          </w:tcPr>
          <w:p w14:paraId="4047F9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/>
              </w:rPr>
              <w:t>基本水量</w:t>
            </w:r>
          </w:p>
        </w:tc>
        <w:tc>
          <w:tcPr>
            <w:tcW w:w="1031" w:type="pct"/>
            <w:tcBorders>
              <w:top w:val="dotted" w:color="000000" w:sz="4" w:space="0"/>
              <w:left w:val="dotted" w:color="000000" w:sz="4" w:space="0"/>
              <w:bottom w:val="single" w:color="000000" w:sz="4" w:space="0"/>
              <w:right w:val="dotted" w:color="000000" w:sz="4" w:space="0"/>
              <w:tl2br w:val="nil"/>
              <w:tr2bl w:val="nil"/>
            </w:tcBorders>
            <w:shd w:val="clear" w:color="auto" w:fill="auto"/>
            <w:noWrap/>
            <w:vAlign w:val="center"/>
          </w:tcPr>
          <w:p w14:paraId="45C199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/>
              </w:rPr>
              <w:t>按规定价格执行</w:t>
            </w:r>
          </w:p>
        </w:tc>
        <w:tc>
          <w:tcPr>
            <w:tcW w:w="1304" w:type="pct"/>
            <w:tcBorders>
              <w:top w:val="dotted" w:color="000000" w:sz="4" w:space="0"/>
              <w:left w:val="dotted" w:color="000000" w:sz="4" w:space="0"/>
              <w:bottom w:val="single" w:color="000000" w:sz="4" w:space="0"/>
              <w:right w:val="dotted" w:color="000000" w:sz="4" w:space="0"/>
              <w:tl2br w:val="nil"/>
              <w:tr2bl w:val="nil"/>
            </w:tcBorders>
            <w:shd w:val="clear" w:color="auto" w:fill="auto"/>
            <w:noWrap/>
            <w:vAlign w:val="center"/>
          </w:tcPr>
          <w:p w14:paraId="15D91C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asci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/>
              </w:rPr>
              <w:t>3.02</w:t>
            </w:r>
            <w:r>
              <w:rPr>
                <w:rFonts w:hint="eastAsia" w:asci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/>
              </w:rPr>
              <w:t>+0.06=</w:t>
            </w:r>
            <w:r>
              <w:rPr>
                <w:rFonts w:asci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/>
              </w:rPr>
              <w:t>3.08</w:t>
            </w:r>
          </w:p>
        </w:tc>
      </w:tr>
      <w:tr w14:paraId="7D788B7A">
        <w:tblPrEx>
          <w:tblBorders>
            <w:top w:val="single" w:color="000000" w:sz="4" w:space="0"/>
            <w:left w:val="none" w:color="auto" w:sz="0" w:space="0"/>
            <w:bottom w:val="single" w:color="000000" w:sz="4" w:space="0"/>
            <w:right w:val="none" w:color="auto" w:sz="0" w:space="0"/>
            <w:insideH w:val="dotted" w:color="000000" w:sz="4" w:space="0"/>
            <w:insideV w:val="dotted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487" w:type="pct"/>
            <w:tcBorders>
              <w:top w:val="dotted" w:color="000000" w:sz="4" w:space="0"/>
              <w:left w:val="dotted" w:color="000000" w:sz="4" w:space="0"/>
              <w:bottom w:val="single" w:color="000000" w:sz="4" w:space="0"/>
              <w:right w:val="dotted" w:color="000000" w:sz="4" w:space="0"/>
              <w:tl2br w:val="nil"/>
              <w:tr2bl w:val="nil"/>
            </w:tcBorders>
            <w:shd w:val="clear" w:color="auto" w:fill="auto"/>
            <w:noWrap/>
            <w:vAlign w:val="center"/>
          </w:tcPr>
          <w:p w14:paraId="23146B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/>
              </w:rPr>
              <w:t>第二档</w:t>
            </w:r>
          </w:p>
        </w:tc>
        <w:tc>
          <w:tcPr>
            <w:tcW w:w="2177" w:type="pct"/>
            <w:tcBorders>
              <w:top w:val="dotted" w:color="000000" w:sz="4" w:space="0"/>
              <w:left w:val="dotted" w:color="000000" w:sz="4" w:space="0"/>
              <w:bottom w:val="single" w:color="000000" w:sz="4" w:space="0"/>
              <w:right w:val="dotted" w:color="000000" w:sz="4" w:space="0"/>
              <w:tl2br w:val="nil"/>
              <w:tr2bl w:val="nil"/>
            </w:tcBorders>
            <w:shd w:val="clear" w:color="auto" w:fill="auto"/>
            <w:noWrap/>
            <w:vAlign w:val="center"/>
          </w:tcPr>
          <w:p w14:paraId="3F30BF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/>
              </w:rPr>
              <w:t>超出定额和计划用水量20%</w:t>
            </w:r>
          </w:p>
        </w:tc>
        <w:tc>
          <w:tcPr>
            <w:tcW w:w="1031" w:type="pct"/>
            <w:tcBorders>
              <w:top w:val="dotted" w:color="000000" w:sz="4" w:space="0"/>
              <w:left w:val="dotted" w:color="000000" w:sz="4" w:space="0"/>
              <w:bottom w:val="single" w:color="000000" w:sz="4" w:space="0"/>
              <w:right w:val="dotted" w:color="000000" w:sz="4" w:space="0"/>
              <w:tl2br w:val="nil"/>
              <w:tr2bl w:val="nil"/>
            </w:tcBorders>
            <w:shd w:val="clear" w:color="auto" w:fill="auto"/>
            <w:noWrap/>
            <w:vAlign w:val="center"/>
          </w:tcPr>
          <w:p w14:paraId="41B2B4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/>
              </w:rPr>
              <w:t>按基础价2倍执行</w:t>
            </w:r>
          </w:p>
        </w:tc>
        <w:tc>
          <w:tcPr>
            <w:tcW w:w="1304" w:type="pct"/>
            <w:tcBorders>
              <w:top w:val="dotted" w:color="000000" w:sz="4" w:space="0"/>
              <w:left w:val="dotted" w:color="000000" w:sz="4" w:space="0"/>
              <w:bottom w:val="single" w:color="000000" w:sz="4" w:space="0"/>
              <w:right w:val="dotted" w:color="000000" w:sz="4" w:space="0"/>
              <w:tl2br w:val="nil"/>
              <w:tr2bl w:val="nil"/>
            </w:tcBorders>
            <w:shd w:val="clear" w:color="auto" w:fill="auto"/>
            <w:noWrap/>
            <w:vAlign w:val="center"/>
          </w:tcPr>
          <w:p w14:paraId="0BAD1B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asci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/>
              </w:rPr>
              <w:t>3.02</w:t>
            </w:r>
            <w:r>
              <w:rPr>
                <w:rFonts w:hint="eastAsia" w:asci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/>
              </w:rPr>
              <w:t>×2+0.06=</w:t>
            </w:r>
            <w:r>
              <w:rPr>
                <w:rFonts w:asci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/>
              </w:rPr>
              <w:t>6.1</w:t>
            </w:r>
          </w:p>
        </w:tc>
      </w:tr>
      <w:tr w14:paraId="7214ED17">
        <w:tblPrEx>
          <w:tblBorders>
            <w:top w:val="single" w:color="000000" w:sz="4" w:space="0"/>
            <w:left w:val="none" w:color="auto" w:sz="0" w:space="0"/>
            <w:bottom w:val="single" w:color="000000" w:sz="4" w:space="0"/>
            <w:right w:val="none" w:color="auto" w:sz="0" w:space="0"/>
            <w:insideH w:val="dotted" w:color="000000" w:sz="4" w:space="0"/>
            <w:insideV w:val="dotted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487" w:type="pct"/>
            <w:vMerge w:val="restart"/>
            <w:tcBorders>
              <w:top w:val="dotted" w:color="000000" w:sz="4" w:space="0"/>
              <w:left w:val="dotted" w:color="000000" w:sz="4" w:space="0"/>
              <w:bottom w:val="single" w:color="000000" w:sz="4" w:space="0"/>
              <w:right w:val="dotted" w:color="000000" w:sz="4" w:space="0"/>
              <w:tl2br w:val="nil"/>
              <w:tr2bl w:val="nil"/>
            </w:tcBorders>
            <w:shd w:val="clear" w:color="auto" w:fill="auto"/>
            <w:noWrap/>
            <w:vAlign w:val="center"/>
          </w:tcPr>
          <w:p w14:paraId="6AD721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/>
              </w:rPr>
              <w:t>第三档</w:t>
            </w:r>
          </w:p>
        </w:tc>
        <w:tc>
          <w:tcPr>
            <w:tcW w:w="2177" w:type="pct"/>
            <w:tcBorders>
              <w:top w:val="dotted" w:color="000000" w:sz="4" w:space="0"/>
              <w:left w:val="dotted" w:color="000000" w:sz="4" w:space="0"/>
              <w:bottom w:val="single" w:color="000000" w:sz="4" w:space="0"/>
              <w:right w:val="dotted" w:color="000000" w:sz="4" w:space="0"/>
              <w:tl2br w:val="nil"/>
              <w:tr2bl w:val="nil"/>
            </w:tcBorders>
            <w:shd w:val="clear" w:color="auto" w:fill="auto"/>
            <w:noWrap/>
            <w:vAlign w:val="center"/>
          </w:tcPr>
          <w:p w14:paraId="2C95F1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/>
              </w:rPr>
              <w:t>超出定额和计划用水量20%及</w:t>
            </w:r>
          </w:p>
        </w:tc>
        <w:tc>
          <w:tcPr>
            <w:tcW w:w="1031" w:type="pct"/>
            <w:vMerge w:val="restart"/>
            <w:tcBorders>
              <w:top w:val="dotted" w:color="000000" w:sz="4" w:space="0"/>
              <w:left w:val="dotted" w:color="000000" w:sz="4" w:space="0"/>
              <w:bottom w:val="single" w:color="000000" w:sz="4" w:space="0"/>
              <w:right w:val="dotted" w:color="000000" w:sz="4" w:space="0"/>
              <w:tl2br w:val="nil"/>
              <w:tr2bl w:val="nil"/>
            </w:tcBorders>
            <w:shd w:val="clear" w:color="auto" w:fill="auto"/>
            <w:noWrap/>
            <w:vAlign w:val="center"/>
          </w:tcPr>
          <w:p w14:paraId="40F26C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/>
              </w:rPr>
              <w:t>按基础价3倍执行</w:t>
            </w:r>
          </w:p>
        </w:tc>
        <w:tc>
          <w:tcPr>
            <w:tcW w:w="1304" w:type="pct"/>
            <w:vMerge w:val="restart"/>
            <w:tcBorders>
              <w:top w:val="dotted" w:color="000000" w:sz="4" w:space="0"/>
              <w:left w:val="dotted" w:color="000000" w:sz="4" w:space="0"/>
              <w:bottom w:val="single" w:color="000000" w:sz="4" w:space="0"/>
              <w:right w:val="dotted" w:color="000000" w:sz="4" w:space="0"/>
              <w:tl2br w:val="nil"/>
              <w:tr2bl w:val="nil"/>
            </w:tcBorders>
            <w:shd w:val="clear" w:color="auto" w:fill="auto"/>
            <w:noWrap/>
            <w:vAlign w:val="center"/>
          </w:tcPr>
          <w:p w14:paraId="3DCDE3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asci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/>
              </w:rPr>
              <w:t>3.02</w:t>
            </w:r>
            <w:r>
              <w:rPr>
                <w:rFonts w:hint="eastAsia" w:asci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/>
              </w:rPr>
              <w:t>×3+0.06=</w:t>
            </w:r>
            <w:r>
              <w:rPr>
                <w:rFonts w:asci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/>
              </w:rPr>
              <w:t>9.12</w:t>
            </w:r>
          </w:p>
        </w:tc>
      </w:tr>
      <w:tr w14:paraId="6283A522">
        <w:tblPrEx>
          <w:tblBorders>
            <w:top w:val="single" w:color="000000" w:sz="4" w:space="0"/>
            <w:left w:val="none" w:color="auto" w:sz="0" w:space="0"/>
            <w:bottom w:val="single" w:color="000000" w:sz="4" w:space="0"/>
            <w:right w:val="none" w:color="auto" w:sz="0" w:space="0"/>
            <w:insideH w:val="dotted" w:color="000000" w:sz="4" w:space="0"/>
            <w:insideV w:val="dotted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25" w:type="pct"/>
            <w:vMerge w:val="continue"/>
            <w:tcBorders>
              <w:top w:val="dotted" w:color="000000" w:sz="4" w:space="0"/>
              <w:left w:val="dotted" w:color="000000" w:sz="4" w:space="0"/>
              <w:bottom w:val="single" w:color="000000" w:sz="4" w:space="0"/>
              <w:right w:val="dotted" w:color="000000" w:sz="4" w:space="0"/>
              <w:tl2br w:val="nil"/>
              <w:tr2bl w:val="nil"/>
            </w:tcBorders>
            <w:shd w:val="clear" w:color="auto" w:fill="auto"/>
            <w:noWrap/>
            <w:vAlign w:val="center"/>
          </w:tcPr>
          <w:p w14:paraId="527BC0C6"/>
        </w:tc>
        <w:tc>
          <w:tcPr>
            <w:tcW w:w="2177" w:type="pct"/>
            <w:tcBorders>
              <w:top w:val="dotted" w:color="000000" w:sz="4" w:space="0"/>
              <w:left w:val="dotted" w:color="000000" w:sz="4" w:space="0"/>
              <w:bottom w:val="single" w:color="000000" w:sz="4" w:space="0"/>
              <w:right w:val="dotted" w:color="000000" w:sz="4" w:space="0"/>
              <w:tl2br w:val="nil"/>
              <w:tr2bl w:val="nil"/>
            </w:tcBorders>
            <w:shd w:val="clear" w:color="auto" w:fill="auto"/>
            <w:noWrap/>
            <w:vAlign w:val="center"/>
          </w:tcPr>
          <w:p w14:paraId="1ED2A0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/>
              </w:rPr>
              <w:t>以上（含20%）、不足40%部分</w:t>
            </w:r>
          </w:p>
        </w:tc>
        <w:tc>
          <w:tcPr>
            <w:tcW w:w="837" w:type="pct"/>
            <w:vMerge w:val="continue"/>
            <w:tcBorders>
              <w:top w:val="dotted" w:color="000000" w:sz="4" w:space="0"/>
              <w:left w:val="dotted" w:color="000000" w:sz="4" w:space="0"/>
              <w:bottom w:val="single" w:color="000000" w:sz="4" w:space="0"/>
              <w:right w:val="dotted" w:color="000000" w:sz="4" w:space="0"/>
              <w:tl2br w:val="nil"/>
              <w:tr2bl w:val="nil"/>
            </w:tcBorders>
            <w:shd w:val="clear" w:color="auto" w:fill="auto"/>
            <w:noWrap/>
            <w:vAlign w:val="center"/>
          </w:tcPr>
          <w:p w14:paraId="6D58C0A6"/>
        </w:tc>
        <w:tc>
          <w:tcPr>
            <w:tcW w:w="981" w:type="pct"/>
            <w:vMerge w:val="continue"/>
            <w:tcBorders>
              <w:top w:val="dotted" w:color="000000" w:sz="4" w:space="0"/>
              <w:left w:val="dotted" w:color="000000" w:sz="4" w:space="0"/>
              <w:bottom w:val="single" w:color="000000" w:sz="4" w:space="0"/>
              <w:right w:val="dotted" w:color="000000" w:sz="4" w:space="0"/>
              <w:tl2br w:val="nil"/>
              <w:tr2bl w:val="nil"/>
            </w:tcBorders>
            <w:shd w:val="clear" w:color="auto" w:fill="auto"/>
            <w:noWrap/>
            <w:vAlign w:val="center"/>
          </w:tcPr>
          <w:p w14:paraId="724EF78C"/>
        </w:tc>
      </w:tr>
      <w:tr w14:paraId="69929427">
        <w:tblPrEx>
          <w:tblBorders>
            <w:top w:val="single" w:color="000000" w:sz="4" w:space="0"/>
            <w:left w:val="none" w:color="auto" w:sz="0" w:space="0"/>
            <w:bottom w:val="single" w:color="000000" w:sz="4" w:space="0"/>
            <w:right w:val="none" w:color="auto" w:sz="0" w:space="0"/>
            <w:insideH w:val="dotted" w:color="000000" w:sz="4" w:space="0"/>
            <w:insideV w:val="dotted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487" w:type="pct"/>
            <w:tcBorders>
              <w:top w:val="dotted" w:color="000000" w:sz="4" w:space="0"/>
              <w:left w:val="dotted" w:color="000000" w:sz="4" w:space="0"/>
              <w:bottom w:val="single" w:color="000000" w:sz="4" w:space="0"/>
              <w:right w:val="dotted" w:color="000000" w:sz="4" w:space="0"/>
              <w:tl2br w:val="nil"/>
              <w:tr2bl w:val="nil"/>
            </w:tcBorders>
            <w:shd w:val="clear" w:color="auto" w:fill="auto"/>
            <w:noWrap/>
            <w:vAlign w:val="center"/>
          </w:tcPr>
          <w:p w14:paraId="2D298A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/>
              </w:rPr>
              <w:t>第四档</w:t>
            </w:r>
          </w:p>
        </w:tc>
        <w:tc>
          <w:tcPr>
            <w:tcW w:w="2177" w:type="pct"/>
            <w:tcBorders>
              <w:top w:val="dotted" w:color="000000" w:sz="4" w:space="0"/>
              <w:left w:val="dotted" w:color="000000" w:sz="4" w:space="0"/>
              <w:bottom w:val="single" w:color="000000" w:sz="4" w:space="0"/>
              <w:right w:val="dotted" w:color="000000" w:sz="4" w:space="0"/>
              <w:tl2br w:val="nil"/>
              <w:tr2bl w:val="nil"/>
            </w:tcBorders>
            <w:shd w:val="clear" w:color="auto" w:fill="auto"/>
            <w:noWrap/>
            <w:vAlign w:val="center"/>
          </w:tcPr>
          <w:p w14:paraId="6F6A1914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/>
              </w:rPr>
              <w:t>超出定额和计划用水量40%及以上（含40%）</w:t>
            </w:r>
          </w:p>
        </w:tc>
        <w:tc>
          <w:tcPr>
            <w:tcW w:w="1031" w:type="pct"/>
            <w:tcBorders>
              <w:top w:val="dotted" w:color="000000" w:sz="4" w:space="0"/>
              <w:left w:val="dotted" w:color="000000" w:sz="4" w:space="0"/>
              <w:bottom w:val="single" w:color="000000" w:sz="4" w:space="0"/>
              <w:right w:val="dotted" w:color="000000" w:sz="4" w:space="0"/>
              <w:tl2br w:val="nil"/>
              <w:tr2bl w:val="nil"/>
            </w:tcBorders>
            <w:shd w:val="clear" w:color="auto" w:fill="auto"/>
            <w:noWrap/>
            <w:vAlign w:val="center"/>
          </w:tcPr>
          <w:p w14:paraId="3730FE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/>
              </w:rPr>
              <w:t>按基础价4倍执行</w:t>
            </w:r>
          </w:p>
        </w:tc>
        <w:tc>
          <w:tcPr>
            <w:tcW w:w="1304" w:type="pct"/>
            <w:tcBorders>
              <w:top w:val="dotted" w:color="000000" w:sz="4" w:space="0"/>
              <w:left w:val="dotted" w:color="000000" w:sz="4" w:space="0"/>
              <w:bottom w:val="single" w:color="000000" w:sz="4" w:space="0"/>
              <w:right w:val="dotted" w:color="000000" w:sz="4" w:space="0"/>
              <w:tl2br w:val="nil"/>
              <w:tr2bl w:val="nil"/>
            </w:tcBorders>
            <w:shd w:val="clear" w:color="auto" w:fill="auto"/>
            <w:noWrap/>
            <w:vAlign w:val="center"/>
          </w:tcPr>
          <w:p w14:paraId="41C403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asci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/>
              </w:rPr>
              <w:t>3.02</w:t>
            </w:r>
            <w:r>
              <w:rPr>
                <w:rFonts w:hint="eastAsia" w:asci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/>
              </w:rPr>
              <w:t>×4+0.06=</w:t>
            </w:r>
            <w:r>
              <w:rPr>
                <w:rFonts w:asci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/>
              </w:rPr>
              <w:t>12.14</w:t>
            </w:r>
          </w:p>
        </w:tc>
      </w:tr>
    </w:tbl>
    <w:p w14:paraId="061CE77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420" w:leftChars="200"/>
        <w:jc w:val="center"/>
        <w:rPr>
          <w:rFonts w:ascii="Times New Roman" w:hAnsi="Times New Roman" w:eastAsia="方正仿宋_GBK" w:cs="Times New Roman"/>
          <w:b w:val="0"/>
          <w:bCs/>
          <w:color w:val="000000"/>
          <w:kern w:val="2"/>
          <w:sz w:val="32"/>
          <w:szCs w:val="32"/>
          <w:highlight w:val="none"/>
          <w:shd w:val="clear" w:color="auto" w:fill="FFFFFF"/>
          <w:lang w:val="en-US" w:eastAsia="zh-CN" w:bidi="ar-SA"/>
        </w:rPr>
      </w:pPr>
      <w:r>
        <w:rPr>
          <w:rFonts w:ascii="Times New Roman" w:hAnsi="Times New Roman" w:eastAsia="方正仿宋_GBK" w:cs="Times New Roman"/>
          <w:b w:val="0"/>
          <w:bCs/>
          <w:color w:val="000000"/>
          <w:kern w:val="2"/>
          <w:sz w:val="32"/>
          <w:szCs w:val="32"/>
          <w:highlight w:val="none"/>
          <w:shd w:val="clear" w:color="auto" w:fill="FFFFFF"/>
          <w:lang w:val="en-US" w:eastAsia="zh-CN" w:bidi="ar-SA"/>
        </w:rPr>
        <w:t>特种行业用水超定额水价表</w:t>
      </w:r>
    </w:p>
    <w:tbl>
      <w:tblPr>
        <w:tblStyle w:val="7"/>
        <w:tblW w:w="4067" w:type="pct"/>
        <w:tblInd w:w="528" w:type="dxa"/>
        <w:tblBorders>
          <w:top w:val="single" w:color="000000" w:sz="4" w:space="0"/>
          <w:left w:val="none" w:color="auto" w:sz="0" w:space="0"/>
          <w:bottom w:val="single" w:color="000000" w:sz="4" w:space="0"/>
          <w:right w:val="none" w:color="auto" w:sz="0" w:space="0"/>
          <w:insideH w:val="dotted" w:color="000000" w:sz="4" w:space="0"/>
          <w:insideV w:val="dotted" w:color="000000" w:sz="4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6"/>
        <w:gridCol w:w="3336"/>
        <w:gridCol w:w="1496"/>
        <w:gridCol w:w="1896"/>
      </w:tblGrid>
      <w:tr w14:paraId="67C5070A">
        <w:tblPrEx>
          <w:tblBorders>
            <w:top w:val="single" w:color="000000" w:sz="4" w:space="0"/>
            <w:left w:val="none" w:color="auto" w:sz="0" w:space="0"/>
            <w:bottom w:val="single" w:color="000000" w:sz="4" w:space="0"/>
            <w:right w:val="none" w:color="auto" w:sz="0" w:space="0"/>
            <w:insideH w:val="dotted" w:color="000000" w:sz="4" w:space="0"/>
            <w:insideV w:val="dotted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487" w:type="pct"/>
            <w:vMerge w:val="restart"/>
            <w:tcBorders>
              <w:top w:val="dotted" w:color="000000" w:sz="4" w:space="0"/>
              <w:left w:val="dotted" w:color="000000" w:sz="4" w:space="0"/>
              <w:bottom w:val="single" w:color="000000" w:sz="4" w:space="0"/>
              <w:right w:val="dotted" w:color="000000" w:sz="4" w:space="0"/>
              <w:tl2br w:val="nil"/>
              <w:tr2bl w:val="nil"/>
            </w:tcBorders>
            <w:shd w:val="clear" w:color="auto" w:fill="auto"/>
            <w:noWrap/>
            <w:vAlign w:val="center"/>
          </w:tcPr>
          <w:p w14:paraId="60E3D5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/>
              </w:rPr>
              <w:t>档次</w:t>
            </w:r>
          </w:p>
        </w:tc>
        <w:tc>
          <w:tcPr>
            <w:tcW w:w="2176" w:type="pct"/>
            <w:vMerge w:val="restart"/>
            <w:tcBorders>
              <w:top w:val="dotted" w:color="000000" w:sz="4" w:space="0"/>
              <w:left w:val="dotted" w:color="000000" w:sz="4" w:space="0"/>
              <w:bottom w:val="single" w:color="000000" w:sz="4" w:space="0"/>
              <w:right w:val="dotted" w:color="000000" w:sz="4" w:space="0"/>
              <w:tl2br w:val="nil"/>
              <w:tr2bl w:val="nil"/>
            </w:tcBorders>
            <w:shd w:val="clear" w:color="auto" w:fill="auto"/>
            <w:noWrap/>
            <w:vAlign w:val="center"/>
          </w:tcPr>
          <w:p w14:paraId="5C5AE9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/>
              </w:rPr>
              <w:t>水量标准</w:t>
            </w:r>
          </w:p>
        </w:tc>
        <w:tc>
          <w:tcPr>
            <w:tcW w:w="1031" w:type="pct"/>
            <w:vMerge w:val="restart"/>
            <w:tcBorders>
              <w:top w:val="dotted" w:color="000000" w:sz="4" w:space="0"/>
              <w:left w:val="dotted" w:color="000000" w:sz="4" w:space="0"/>
              <w:bottom w:val="single" w:color="000000" w:sz="4" w:space="0"/>
              <w:right w:val="dotted" w:color="000000" w:sz="4" w:space="0"/>
              <w:tl2br w:val="nil"/>
              <w:tr2bl w:val="nil"/>
            </w:tcBorders>
            <w:shd w:val="clear" w:color="auto" w:fill="auto"/>
            <w:noWrap/>
            <w:vAlign w:val="center"/>
          </w:tcPr>
          <w:p w14:paraId="3FB20C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/>
              </w:rPr>
              <w:t>收费标准</w:t>
            </w:r>
          </w:p>
        </w:tc>
        <w:tc>
          <w:tcPr>
            <w:tcW w:w="1304" w:type="pct"/>
            <w:tcBorders>
              <w:top w:val="dotted" w:color="000000" w:sz="4" w:space="0"/>
              <w:left w:val="dotted" w:color="000000" w:sz="4" w:space="0"/>
              <w:bottom w:val="single" w:color="000000" w:sz="4" w:space="0"/>
              <w:right w:val="dotted" w:color="000000" w:sz="4" w:space="0"/>
              <w:tl2br w:val="nil"/>
              <w:tr2bl w:val="nil"/>
            </w:tcBorders>
            <w:shd w:val="clear" w:color="auto" w:fill="auto"/>
            <w:noWrap/>
            <w:vAlign w:val="center"/>
          </w:tcPr>
          <w:p w14:paraId="46D7CF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/>
              </w:rPr>
              <w:t>监狱水量在非居民</w:t>
            </w:r>
          </w:p>
        </w:tc>
      </w:tr>
      <w:tr w14:paraId="15F0BF1C">
        <w:tblPrEx>
          <w:tblBorders>
            <w:top w:val="single" w:color="000000" w:sz="4" w:space="0"/>
            <w:left w:val="none" w:color="auto" w:sz="0" w:space="0"/>
            <w:bottom w:val="single" w:color="000000" w:sz="4" w:space="0"/>
            <w:right w:val="none" w:color="auto" w:sz="0" w:space="0"/>
            <w:insideH w:val="dotted" w:color="000000" w:sz="4" w:space="0"/>
            <w:insideV w:val="dotted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19" w:type="pct"/>
            <w:vMerge w:val="continue"/>
            <w:tcBorders>
              <w:top w:val="dotted" w:color="000000" w:sz="4" w:space="0"/>
              <w:left w:val="dotted" w:color="000000" w:sz="4" w:space="0"/>
              <w:bottom w:val="single" w:color="000000" w:sz="4" w:space="0"/>
              <w:right w:val="dotted" w:color="000000" w:sz="4" w:space="0"/>
              <w:tl2br w:val="nil"/>
              <w:tr2bl w:val="nil"/>
            </w:tcBorders>
            <w:shd w:val="clear" w:color="auto" w:fill="auto"/>
            <w:noWrap/>
            <w:vAlign w:val="center"/>
          </w:tcPr>
          <w:p w14:paraId="4FBE1905"/>
        </w:tc>
        <w:tc>
          <w:tcPr>
            <w:tcW w:w="1697" w:type="pct"/>
            <w:vMerge w:val="continue"/>
            <w:tcBorders>
              <w:top w:val="dotted" w:color="000000" w:sz="4" w:space="0"/>
              <w:left w:val="dotted" w:color="000000" w:sz="4" w:space="0"/>
              <w:bottom w:val="single" w:color="000000" w:sz="4" w:space="0"/>
              <w:right w:val="dotted" w:color="000000" w:sz="4" w:space="0"/>
              <w:tl2br w:val="nil"/>
              <w:tr2bl w:val="nil"/>
            </w:tcBorders>
            <w:shd w:val="clear" w:color="auto" w:fill="auto"/>
            <w:noWrap/>
            <w:vAlign w:val="center"/>
          </w:tcPr>
          <w:p w14:paraId="26DB206B"/>
        </w:tc>
        <w:tc>
          <w:tcPr>
            <w:tcW w:w="837" w:type="pct"/>
            <w:vMerge w:val="continue"/>
            <w:tcBorders>
              <w:top w:val="dotted" w:color="000000" w:sz="4" w:space="0"/>
              <w:left w:val="dotted" w:color="000000" w:sz="4" w:space="0"/>
              <w:bottom w:val="single" w:color="000000" w:sz="4" w:space="0"/>
              <w:right w:val="dotted" w:color="000000" w:sz="4" w:space="0"/>
              <w:tl2br w:val="nil"/>
              <w:tr2bl w:val="nil"/>
            </w:tcBorders>
            <w:shd w:val="clear" w:color="auto" w:fill="auto"/>
            <w:noWrap/>
            <w:vAlign w:val="center"/>
          </w:tcPr>
          <w:p w14:paraId="2445A7A3"/>
        </w:tc>
        <w:tc>
          <w:tcPr>
            <w:tcW w:w="1304" w:type="pct"/>
            <w:tcBorders>
              <w:top w:val="dotted" w:color="000000" w:sz="4" w:space="0"/>
              <w:left w:val="dotted" w:color="000000" w:sz="4" w:space="0"/>
              <w:bottom w:val="single" w:color="000000" w:sz="4" w:space="0"/>
              <w:right w:val="dotted" w:color="000000" w:sz="4" w:space="0"/>
              <w:tl2br w:val="nil"/>
              <w:tr2bl w:val="nil"/>
            </w:tcBorders>
            <w:shd w:val="clear" w:color="auto" w:fill="auto"/>
            <w:noWrap/>
            <w:vAlign w:val="center"/>
          </w:tcPr>
          <w:p w14:paraId="4135AA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/>
              </w:rPr>
              <w:t>供水价格（元/立方米）</w:t>
            </w:r>
          </w:p>
        </w:tc>
      </w:tr>
      <w:tr w14:paraId="69A9759F">
        <w:tblPrEx>
          <w:tblBorders>
            <w:top w:val="single" w:color="000000" w:sz="4" w:space="0"/>
            <w:left w:val="none" w:color="auto" w:sz="0" w:space="0"/>
            <w:bottom w:val="single" w:color="000000" w:sz="4" w:space="0"/>
            <w:right w:val="none" w:color="auto" w:sz="0" w:space="0"/>
            <w:insideH w:val="dotted" w:color="000000" w:sz="4" w:space="0"/>
            <w:insideV w:val="dotted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487" w:type="pct"/>
            <w:tcBorders>
              <w:top w:val="dotted" w:color="000000" w:sz="4" w:space="0"/>
              <w:left w:val="dotted" w:color="000000" w:sz="4" w:space="0"/>
              <w:bottom w:val="single" w:color="000000" w:sz="4" w:space="0"/>
              <w:right w:val="dotted" w:color="000000" w:sz="4" w:space="0"/>
              <w:tl2br w:val="nil"/>
              <w:tr2bl w:val="nil"/>
            </w:tcBorders>
            <w:shd w:val="clear" w:color="auto" w:fill="auto"/>
            <w:noWrap/>
            <w:vAlign w:val="center"/>
          </w:tcPr>
          <w:p w14:paraId="72EB4C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/>
              </w:rPr>
              <w:t>第一档</w:t>
            </w:r>
          </w:p>
        </w:tc>
        <w:tc>
          <w:tcPr>
            <w:tcW w:w="2176" w:type="pct"/>
            <w:tcBorders>
              <w:top w:val="dotted" w:color="000000" w:sz="4" w:space="0"/>
              <w:left w:val="dotted" w:color="000000" w:sz="4" w:space="0"/>
              <w:bottom w:val="single" w:color="000000" w:sz="4" w:space="0"/>
              <w:right w:val="dotted" w:color="000000" w:sz="4" w:space="0"/>
              <w:tl2br w:val="nil"/>
              <w:tr2bl w:val="nil"/>
            </w:tcBorders>
            <w:shd w:val="clear" w:color="auto" w:fill="auto"/>
            <w:noWrap/>
            <w:vAlign w:val="center"/>
          </w:tcPr>
          <w:p w14:paraId="218362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/>
              </w:rPr>
              <w:t>基本水量</w:t>
            </w:r>
          </w:p>
        </w:tc>
        <w:tc>
          <w:tcPr>
            <w:tcW w:w="1031" w:type="pct"/>
            <w:tcBorders>
              <w:top w:val="dotted" w:color="000000" w:sz="4" w:space="0"/>
              <w:left w:val="dotted" w:color="000000" w:sz="4" w:space="0"/>
              <w:bottom w:val="single" w:color="000000" w:sz="4" w:space="0"/>
              <w:right w:val="dotted" w:color="000000" w:sz="4" w:space="0"/>
              <w:tl2br w:val="nil"/>
              <w:tr2bl w:val="nil"/>
            </w:tcBorders>
            <w:shd w:val="clear" w:color="auto" w:fill="auto"/>
            <w:noWrap/>
            <w:vAlign w:val="center"/>
          </w:tcPr>
          <w:p w14:paraId="503AB6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/>
              </w:rPr>
              <w:t>按规定价格执行</w:t>
            </w:r>
          </w:p>
        </w:tc>
        <w:tc>
          <w:tcPr>
            <w:tcW w:w="1304" w:type="pct"/>
            <w:tcBorders>
              <w:top w:val="dotted" w:color="000000" w:sz="4" w:space="0"/>
              <w:left w:val="dotted" w:color="000000" w:sz="4" w:space="0"/>
              <w:bottom w:val="single" w:color="000000" w:sz="4" w:space="0"/>
              <w:right w:val="dotted" w:color="000000" w:sz="4" w:space="0"/>
              <w:tl2br w:val="nil"/>
              <w:tr2bl w:val="nil"/>
            </w:tcBorders>
            <w:shd w:val="clear" w:color="auto" w:fill="auto"/>
            <w:noWrap/>
            <w:vAlign w:val="center"/>
          </w:tcPr>
          <w:p w14:paraId="56AE76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asci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/>
              </w:rPr>
              <w:t>9.06</w:t>
            </w:r>
            <w:r>
              <w:rPr>
                <w:rFonts w:hint="eastAsia" w:asci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/>
              </w:rPr>
              <w:t>+0.06=</w:t>
            </w:r>
            <w:r>
              <w:rPr>
                <w:rFonts w:asci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/>
              </w:rPr>
              <w:t>9.12</w:t>
            </w:r>
          </w:p>
        </w:tc>
      </w:tr>
      <w:tr w14:paraId="5093CA76">
        <w:tblPrEx>
          <w:tblBorders>
            <w:top w:val="single" w:color="000000" w:sz="4" w:space="0"/>
            <w:left w:val="none" w:color="auto" w:sz="0" w:space="0"/>
            <w:bottom w:val="single" w:color="000000" w:sz="4" w:space="0"/>
            <w:right w:val="none" w:color="auto" w:sz="0" w:space="0"/>
            <w:insideH w:val="dotted" w:color="000000" w:sz="4" w:space="0"/>
            <w:insideV w:val="dotted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487" w:type="pct"/>
            <w:tcBorders>
              <w:top w:val="dotted" w:color="000000" w:sz="4" w:space="0"/>
              <w:left w:val="dotted" w:color="000000" w:sz="4" w:space="0"/>
              <w:bottom w:val="single" w:color="000000" w:sz="4" w:space="0"/>
              <w:right w:val="dotted" w:color="000000" w:sz="4" w:space="0"/>
              <w:tl2br w:val="nil"/>
              <w:tr2bl w:val="nil"/>
            </w:tcBorders>
            <w:shd w:val="clear" w:color="auto" w:fill="auto"/>
            <w:noWrap/>
            <w:vAlign w:val="center"/>
          </w:tcPr>
          <w:p w14:paraId="670873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/>
              </w:rPr>
              <w:t>第二档</w:t>
            </w:r>
          </w:p>
        </w:tc>
        <w:tc>
          <w:tcPr>
            <w:tcW w:w="2176" w:type="pct"/>
            <w:tcBorders>
              <w:top w:val="dotted" w:color="000000" w:sz="4" w:space="0"/>
              <w:left w:val="dotted" w:color="000000" w:sz="4" w:space="0"/>
              <w:bottom w:val="single" w:color="000000" w:sz="4" w:space="0"/>
              <w:right w:val="dotted" w:color="000000" w:sz="4" w:space="0"/>
              <w:tl2br w:val="nil"/>
              <w:tr2bl w:val="nil"/>
            </w:tcBorders>
            <w:shd w:val="clear" w:color="auto" w:fill="auto"/>
            <w:noWrap/>
            <w:vAlign w:val="center"/>
          </w:tcPr>
          <w:p w14:paraId="377416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/>
              </w:rPr>
              <w:t>超出定额和计划用水量20%</w:t>
            </w:r>
          </w:p>
        </w:tc>
        <w:tc>
          <w:tcPr>
            <w:tcW w:w="1031" w:type="pct"/>
            <w:tcBorders>
              <w:top w:val="dotted" w:color="000000" w:sz="4" w:space="0"/>
              <w:left w:val="dotted" w:color="000000" w:sz="4" w:space="0"/>
              <w:bottom w:val="single" w:color="000000" w:sz="4" w:space="0"/>
              <w:right w:val="dotted" w:color="000000" w:sz="4" w:space="0"/>
              <w:tl2br w:val="nil"/>
              <w:tr2bl w:val="nil"/>
            </w:tcBorders>
            <w:shd w:val="clear" w:color="auto" w:fill="auto"/>
            <w:noWrap/>
            <w:vAlign w:val="center"/>
          </w:tcPr>
          <w:p w14:paraId="20D486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/>
              </w:rPr>
              <w:t>按基础价2倍执行</w:t>
            </w:r>
          </w:p>
        </w:tc>
        <w:tc>
          <w:tcPr>
            <w:tcW w:w="1304" w:type="pct"/>
            <w:tcBorders>
              <w:top w:val="dotted" w:color="000000" w:sz="4" w:space="0"/>
              <w:left w:val="dotted" w:color="000000" w:sz="4" w:space="0"/>
              <w:bottom w:val="single" w:color="000000" w:sz="4" w:space="0"/>
              <w:right w:val="dotted" w:color="000000" w:sz="4" w:space="0"/>
              <w:tl2br w:val="nil"/>
              <w:tr2bl w:val="nil"/>
            </w:tcBorders>
            <w:shd w:val="clear" w:color="auto" w:fill="auto"/>
            <w:noWrap/>
            <w:vAlign w:val="center"/>
          </w:tcPr>
          <w:p w14:paraId="1D0E13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asci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/>
              </w:rPr>
              <w:t>9.06</w:t>
            </w:r>
            <w:r>
              <w:rPr>
                <w:rFonts w:hint="eastAsia" w:asci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/>
              </w:rPr>
              <w:t>×2+0.06=1</w:t>
            </w:r>
            <w:r>
              <w:rPr>
                <w:rFonts w:asci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/>
              </w:rPr>
              <w:t>8.18</w:t>
            </w:r>
          </w:p>
        </w:tc>
      </w:tr>
      <w:tr w14:paraId="56063CC7">
        <w:tblPrEx>
          <w:tblBorders>
            <w:top w:val="single" w:color="000000" w:sz="4" w:space="0"/>
            <w:left w:val="none" w:color="auto" w:sz="0" w:space="0"/>
            <w:bottom w:val="single" w:color="000000" w:sz="4" w:space="0"/>
            <w:right w:val="none" w:color="auto" w:sz="0" w:space="0"/>
            <w:insideH w:val="dotted" w:color="000000" w:sz="4" w:space="0"/>
            <w:insideV w:val="dotted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487" w:type="pct"/>
            <w:vMerge w:val="restart"/>
            <w:tcBorders>
              <w:top w:val="dotted" w:color="000000" w:sz="4" w:space="0"/>
              <w:left w:val="dotted" w:color="000000" w:sz="4" w:space="0"/>
              <w:bottom w:val="single" w:color="000000" w:sz="4" w:space="0"/>
              <w:right w:val="dotted" w:color="000000" w:sz="4" w:space="0"/>
              <w:tl2br w:val="nil"/>
              <w:tr2bl w:val="nil"/>
            </w:tcBorders>
            <w:shd w:val="clear" w:color="auto" w:fill="auto"/>
            <w:noWrap/>
            <w:vAlign w:val="center"/>
          </w:tcPr>
          <w:p w14:paraId="1283E4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/>
              </w:rPr>
              <w:t>第三档</w:t>
            </w:r>
          </w:p>
        </w:tc>
        <w:tc>
          <w:tcPr>
            <w:tcW w:w="2176" w:type="pct"/>
            <w:tcBorders>
              <w:top w:val="dotted" w:color="000000" w:sz="4" w:space="0"/>
              <w:left w:val="dotted" w:color="000000" w:sz="4" w:space="0"/>
              <w:bottom w:val="single" w:color="000000" w:sz="4" w:space="0"/>
              <w:right w:val="dotted" w:color="000000" w:sz="4" w:space="0"/>
              <w:tl2br w:val="nil"/>
              <w:tr2bl w:val="nil"/>
            </w:tcBorders>
            <w:shd w:val="clear" w:color="auto" w:fill="auto"/>
            <w:noWrap/>
            <w:vAlign w:val="center"/>
          </w:tcPr>
          <w:p w14:paraId="158B3F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/>
              </w:rPr>
              <w:t>超出定额和计划用水量20%及</w:t>
            </w:r>
          </w:p>
        </w:tc>
        <w:tc>
          <w:tcPr>
            <w:tcW w:w="1031" w:type="pct"/>
            <w:vMerge w:val="restart"/>
            <w:tcBorders>
              <w:top w:val="dotted" w:color="000000" w:sz="4" w:space="0"/>
              <w:left w:val="dotted" w:color="000000" w:sz="4" w:space="0"/>
              <w:bottom w:val="single" w:color="000000" w:sz="4" w:space="0"/>
              <w:right w:val="dotted" w:color="000000" w:sz="4" w:space="0"/>
              <w:tl2br w:val="nil"/>
              <w:tr2bl w:val="nil"/>
            </w:tcBorders>
            <w:shd w:val="clear" w:color="auto" w:fill="auto"/>
            <w:noWrap/>
            <w:vAlign w:val="center"/>
          </w:tcPr>
          <w:p w14:paraId="5177EC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/>
              </w:rPr>
              <w:t>按基础价3倍执行</w:t>
            </w:r>
          </w:p>
        </w:tc>
        <w:tc>
          <w:tcPr>
            <w:tcW w:w="1304" w:type="pct"/>
            <w:vMerge w:val="restart"/>
            <w:tcBorders>
              <w:top w:val="dotted" w:color="000000" w:sz="4" w:space="0"/>
              <w:left w:val="dotted" w:color="000000" w:sz="4" w:space="0"/>
              <w:bottom w:val="single" w:color="000000" w:sz="4" w:space="0"/>
              <w:right w:val="dotted" w:color="000000" w:sz="4" w:space="0"/>
              <w:tl2br w:val="nil"/>
              <w:tr2bl w:val="nil"/>
            </w:tcBorders>
            <w:shd w:val="clear" w:color="auto" w:fill="auto"/>
            <w:noWrap/>
            <w:vAlign w:val="center"/>
          </w:tcPr>
          <w:p w14:paraId="70C44B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asci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/>
              </w:rPr>
              <w:t>9.06</w:t>
            </w:r>
            <w:r>
              <w:rPr>
                <w:rFonts w:hint="eastAsia" w:asci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/>
              </w:rPr>
              <w:t>×3+0.06=2</w:t>
            </w:r>
            <w:r>
              <w:rPr>
                <w:rFonts w:asci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/>
              </w:rPr>
              <w:t>7.24</w:t>
            </w:r>
          </w:p>
        </w:tc>
      </w:tr>
      <w:tr w14:paraId="3C4DF86B">
        <w:tblPrEx>
          <w:tblBorders>
            <w:top w:val="single" w:color="000000" w:sz="4" w:space="0"/>
            <w:left w:val="none" w:color="auto" w:sz="0" w:space="0"/>
            <w:bottom w:val="single" w:color="000000" w:sz="4" w:space="0"/>
            <w:right w:val="none" w:color="auto" w:sz="0" w:space="0"/>
            <w:insideH w:val="dotted" w:color="000000" w:sz="4" w:space="0"/>
            <w:insideV w:val="dotted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19" w:type="pct"/>
            <w:vMerge w:val="continue"/>
            <w:tcBorders>
              <w:top w:val="dotted" w:color="000000" w:sz="4" w:space="0"/>
              <w:left w:val="dotted" w:color="000000" w:sz="4" w:space="0"/>
              <w:bottom w:val="single" w:color="000000" w:sz="4" w:space="0"/>
              <w:right w:val="dotted" w:color="000000" w:sz="4" w:space="0"/>
              <w:tl2br w:val="nil"/>
              <w:tr2bl w:val="nil"/>
            </w:tcBorders>
            <w:shd w:val="clear" w:color="auto" w:fill="auto"/>
            <w:noWrap/>
            <w:vAlign w:val="center"/>
          </w:tcPr>
          <w:p w14:paraId="40E55863"/>
        </w:tc>
        <w:tc>
          <w:tcPr>
            <w:tcW w:w="2176" w:type="pct"/>
            <w:tcBorders>
              <w:top w:val="dotted" w:color="000000" w:sz="4" w:space="0"/>
              <w:left w:val="dotted" w:color="000000" w:sz="4" w:space="0"/>
              <w:bottom w:val="single" w:color="000000" w:sz="4" w:space="0"/>
              <w:right w:val="dotted" w:color="000000" w:sz="4" w:space="0"/>
              <w:tl2br w:val="nil"/>
              <w:tr2bl w:val="nil"/>
            </w:tcBorders>
            <w:shd w:val="clear" w:color="auto" w:fill="auto"/>
            <w:noWrap/>
            <w:vAlign w:val="center"/>
          </w:tcPr>
          <w:p w14:paraId="2C0F23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/>
              </w:rPr>
              <w:t>以上（含20%）、不足40%部分</w:t>
            </w:r>
          </w:p>
        </w:tc>
        <w:tc>
          <w:tcPr>
            <w:tcW w:w="837" w:type="pct"/>
            <w:vMerge w:val="continue"/>
            <w:tcBorders>
              <w:top w:val="dotted" w:color="000000" w:sz="4" w:space="0"/>
              <w:left w:val="dotted" w:color="000000" w:sz="4" w:space="0"/>
              <w:bottom w:val="single" w:color="000000" w:sz="4" w:space="0"/>
              <w:right w:val="dotted" w:color="000000" w:sz="4" w:space="0"/>
              <w:tl2br w:val="nil"/>
              <w:tr2bl w:val="nil"/>
            </w:tcBorders>
            <w:shd w:val="clear" w:color="auto" w:fill="auto"/>
            <w:noWrap/>
            <w:vAlign w:val="center"/>
          </w:tcPr>
          <w:p w14:paraId="1F7FF202"/>
        </w:tc>
        <w:tc>
          <w:tcPr>
            <w:tcW w:w="987" w:type="pct"/>
            <w:vMerge w:val="continue"/>
            <w:tcBorders>
              <w:top w:val="dotted" w:color="000000" w:sz="4" w:space="0"/>
              <w:left w:val="dotted" w:color="000000" w:sz="4" w:space="0"/>
              <w:bottom w:val="single" w:color="000000" w:sz="4" w:space="0"/>
              <w:right w:val="dotted" w:color="000000" w:sz="4" w:space="0"/>
              <w:tl2br w:val="nil"/>
              <w:tr2bl w:val="nil"/>
            </w:tcBorders>
            <w:shd w:val="clear" w:color="auto" w:fill="auto"/>
            <w:noWrap/>
            <w:vAlign w:val="center"/>
          </w:tcPr>
          <w:p w14:paraId="40317D04"/>
        </w:tc>
      </w:tr>
      <w:tr w14:paraId="6EE32E54">
        <w:tblPrEx>
          <w:tblBorders>
            <w:top w:val="single" w:color="000000" w:sz="4" w:space="0"/>
            <w:left w:val="none" w:color="auto" w:sz="0" w:space="0"/>
            <w:bottom w:val="single" w:color="000000" w:sz="4" w:space="0"/>
            <w:right w:val="none" w:color="auto" w:sz="0" w:space="0"/>
            <w:insideH w:val="dotted" w:color="000000" w:sz="4" w:space="0"/>
            <w:insideV w:val="dotted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487" w:type="pct"/>
            <w:tcBorders>
              <w:top w:val="dotted" w:color="000000" w:sz="4" w:space="0"/>
              <w:left w:val="dotted" w:color="000000" w:sz="4" w:space="0"/>
              <w:bottom w:val="single" w:color="000000" w:sz="4" w:space="0"/>
              <w:right w:val="dotted" w:color="000000" w:sz="4" w:space="0"/>
              <w:tl2br w:val="nil"/>
              <w:tr2bl w:val="nil"/>
            </w:tcBorders>
            <w:shd w:val="clear" w:color="auto" w:fill="auto"/>
            <w:noWrap/>
            <w:vAlign w:val="center"/>
          </w:tcPr>
          <w:p w14:paraId="2D3ED1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/>
              </w:rPr>
              <w:t>第四档</w:t>
            </w:r>
          </w:p>
        </w:tc>
        <w:tc>
          <w:tcPr>
            <w:tcW w:w="2176" w:type="pct"/>
            <w:tcBorders>
              <w:top w:val="dotted" w:color="000000" w:sz="4" w:space="0"/>
              <w:left w:val="dotted" w:color="000000" w:sz="4" w:space="0"/>
              <w:bottom w:val="single" w:color="000000" w:sz="4" w:space="0"/>
              <w:right w:val="dotted" w:color="000000" w:sz="4" w:space="0"/>
              <w:tl2br w:val="nil"/>
              <w:tr2bl w:val="nil"/>
            </w:tcBorders>
            <w:shd w:val="clear" w:color="auto" w:fill="auto"/>
            <w:noWrap/>
            <w:vAlign w:val="center"/>
          </w:tcPr>
          <w:p w14:paraId="1C502EDF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/>
              </w:rPr>
              <w:t>超出定额和计划用水量40%及以上（含40%）</w:t>
            </w:r>
          </w:p>
        </w:tc>
        <w:tc>
          <w:tcPr>
            <w:tcW w:w="1031" w:type="pct"/>
            <w:tcBorders>
              <w:top w:val="dotted" w:color="000000" w:sz="4" w:space="0"/>
              <w:left w:val="dotted" w:color="000000" w:sz="4" w:space="0"/>
              <w:bottom w:val="single" w:color="000000" w:sz="4" w:space="0"/>
              <w:right w:val="dotted" w:color="000000" w:sz="4" w:space="0"/>
              <w:tl2br w:val="nil"/>
              <w:tr2bl w:val="nil"/>
            </w:tcBorders>
            <w:shd w:val="clear" w:color="auto" w:fill="auto"/>
            <w:noWrap/>
            <w:vAlign w:val="center"/>
          </w:tcPr>
          <w:p w14:paraId="46E11A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/>
              </w:rPr>
              <w:t>按基础价4倍执行</w:t>
            </w:r>
          </w:p>
        </w:tc>
        <w:tc>
          <w:tcPr>
            <w:tcW w:w="1304" w:type="pct"/>
            <w:tcBorders>
              <w:top w:val="dotted" w:color="000000" w:sz="4" w:space="0"/>
              <w:left w:val="dotted" w:color="000000" w:sz="4" w:space="0"/>
              <w:bottom w:val="single" w:color="000000" w:sz="4" w:space="0"/>
              <w:right w:val="dotted" w:color="000000" w:sz="4" w:space="0"/>
              <w:tl2br w:val="nil"/>
              <w:tr2bl w:val="nil"/>
            </w:tcBorders>
            <w:shd w:val="clear" w:color="auto" w:fill="auto"/>
            <w:noWrap/>
            <w:vAlign w:val="center"/>
          </w:tcPr>
          <w:p w14:paraId="23EC3D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asci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/>
              </w:rPr>
              <w:t>9.06</w:t>
            </w:r>
            <w:r>
              <w:rPr>
                <w:rFonts w:hint="eastAsia" w:asci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/>
              </w:rPr>
              <w:t>×4+0.06=</w:t>
            </w:r>
            <w:r>
              <w:rPr>
                <w:rFonts w:asci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/>
              </w:rPr>
              <w:t>36.3</w:t>
            </w:r>
          </w:p>
        </w:tc>
      </w:tr>
    </w:tbl>
    <w:p w14:paraId="5CC89ED8">
      <w:pPr>
        <w:pStyle w:val="3"/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五、听证组织人</w:t>
      </w:r>
    </w:p>
    <w:p w14:paraId="353B215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64" w:firstLineChars="200"/>
        <w:jc w:val="left"/>
        <w:textAlignment w:val="auto"/>
        <w:rPr>
          <w:rFonts w:hint="eastAsia" w:ascii="仿宋_GB2312" w:hAnsi="仿宋_GB2312" w:eastAsia="仿宋_GB2312" w:cs="仿宋_GB2312"/>
          <w:spacing w:val="6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pacing w:val="6"/>
          <w:sz w:val="32"/>
          <w:szCs w:val="32"/>
          <w:highlight w:val="none"/>
          <w:lang w:val="en-US" w:eastAsia="zh-CN"/>
        </w:rPr>
        <w:t>第十四师昆玉市发展和改革委员会</w:t>
      </w:r>
    </w:p>
    <w:p w14:paraId="3BC9215C">
      <w:pPr>
        <w:pStyle w:val="3"/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六、听证会参加人（26人）</w:t>
      </w:r>
    </w:p>
    <w:p w14:paraId="6239647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64" w:firstLineChars="200"/>
        <w:jc w:val="left"/>
        <w:textAlignment w:val="auto"/>
        <w:rPr>
          <w:rFonts w:hint="eastAsia" w:ascii="仿宋_GB2312" w:hAnsi="仿宋_GB2312" w:eastAsia="仿宋_GB2312" w:cs="仿宋_GB2312"/>
          <w:spacing w:val="6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pacing w:val="6"/>
          <w:sz w:val="32"/>
          <w:szCs w:val="32"/>
          <w:highlight w:val="none"/>
          <w:lang w:val="en-US" w:eastAsia="zh-CN"/>
        </w:rPr>
        <w:t>（一）本次听证会共设参加人26名，由以下方面人员组成：</w:t>
      </w:r>
    </w:p>
    <w:p w14:paraId="7B93B3F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64" w:firstLineChars="200"/>
        <w:jc w:val="left"/>
        <w:textAlignment w:val="auto"/>
        <w:rPr>
          <w:rFonts w:hint="eastAsia" w:ascii="仿宋_GB2312" w:hAnsi="仿宋_GB2312" w:eastAsia="仿宋_GB2312" w:cs="仿宋_GB2312"/>
          <w:spacing w:val="6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pacing w:val="6"/>
          <w:sz w:val="32"/>
          <w:szCs w:val="32"/>
          <w:highlight w:val="none"/>
          <w:lang w:val="en-US" w:eastAsia="zh-CN"/>
        </w:rPr>
        <w:t>1.人大代表1名；</w:t>
      </w:r>
    </w:p>
    <w:p w14:paraId="18BB82F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64" w:firstLineChars="200"/>
        <w:jc w:val="left"/>
        <w:textAlignment w:val="auto"/>
        <w:rPr>
          <w:rFonts w:hint="eastAsia" w:ascii="仿宋_GB2312" w:hAnsi="仿宋_GB2312" w:eastAsia="仿宋_GB2312" w:cs="仿宋_GB2312"/>
          <w:spacing w:val="6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pacing w:val="6"/>
          <w:sz w:val="32"/>
          <w:szCs w:val="32"/>
          <w:highlight w:val="none"/>
          <w:lang w:val="en-US" w:eastAsia="zh-CN"/>
        </w:rPr>
        <w:t>2.政协委员1名；</w:t>
      </w:r>
    </w:p>
    <w:p w14:paraId="0E01A26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64" w:firstLineChars="200"/>
        <w:jc w:val="left"/>
        <w:textAlignment w:val="auto"/>
        <w:rPr>
          <w:rFonts w:hint="eastAsia" w:ascii="仿宋_GB2312" w:hAnsi="仿宋_GB2312" w:eastAsia="仿宋_GB2312" w:cs="仿宋_GB2312"/>
          <w:spacing w:val="6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pacing w:val="6"/>
          <w:sz w:val="32"/>
          <w:szCs w:val="32"/>
          <w:highlight w:val="none"/>
          <w:lang w:val="en-US" w:eastAsia="zh-CN"/>
        </w:rPr>
        <w:t>3.相关领域专家1名；</w:t>
      </w:r>
    </w:p>
    <w:p w14:paraId="735F5E8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64" w:firstLineChars="200"/>
        <w:jc w:val="left"/>
        <w:textAlignment w:val="auto"/>
        <w:rPr>
          <w:rFonts w:hint="eastAsia" w:ascii="仿宋_GB2312" w:hAnsi="仿宋_GB2312" w:eastAsia="仿宋_GB2312" w:cs="仿宋_GB2312"/>
          <w:spacing w:val="6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pacing w:val="6"/>
          <w:sz w:val="32"/>
          <w:szCs w:val="32"/>
          <w:highlight w:val="none"/>
          <w:lang w:val="en-US" w:eastAsia="zh-CN"/>
        </w:rPr>
        <w:t>4.政府部门、社会组织工作人员及其他相关部门（8名）；</w:t>
      </w:r>
    </w:p>
    <w:p w14:paraId="415DD78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64" w:firstLineChars="200"/>
        <w:jc w:val="left"/>
        <w:textAlignment w:val="auto"/>
        <w:rPr>
          <w:rFonts w:hint="eastAsia" w:ascii="仿宋_GB2312" w:hAnsi="仿宋_GB2312" w:eastAsia="仿宋_GB2312" w:cs="仿宋_GB2312"/>
          <w:spacing w:val="6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pacing w:val="6"/>
          <w:sz w:val="32"/>
          <w:szCs w:val="32"/>
          <w:highlight w:val="none"/>
          <w:lang w:val="en-US" w:eastAsia="zh-CN"/>
        </w:rPr>
        <w:t>5.消费者参加人（14名）；</w:t>
      </w:r>
    </w:p>
    <w:p w14:paraId="55E2681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64" w:firstLineChars="200"/>
        <w:jc w:val="left"/>
        <w:textAlignment w:val="auto"/>
        <w:rPr>
          <w:rFonts w:hint="default" w:ascii="仿宋_GB2312" w:hAnsi="仿宋_GB2312" w:eastAsia="仿宋_GB2312" w:cs="仿宋_GB2312"/>
          <w:spacing w:val="6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pacing w:val="6"/>
          <w:sz w:val="32"/>
          <w:szCs w:val="32"/>
          <w:highlight w:val="none"/>
          <w:lang w:val="en-US" w:eastAsia="zh-CN"/>
        </w:rPr>
        <w:t xml:space="preserve">    6.相关领域专家1名；</w:t>
      </w:r>
    </w:p>
    <w:p w14:paraId="65EE009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64" w:firstLineChars="200"/>
        <w:jc w:val="left"/>
        <w:textAlignment w:val="auto"/>
        <w:rPr>
          <w:rFonts w:hint="eastAsia" w:ascii="仿宋_GB2312" w:hAnsi="仿宋_GB2312" w:eastAsia="仿宋_GB2312" w:cs="仿宋_GB2312"/>
          <w:spacing w:val="6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pacing w:val="6"/>
          <w:sz w:val="32"/>
          <w:szCs w:val="32"/>
          <w:highlight w:val="none"/>
          <w:lang w:val="en-US" w:eastAsia="zh-CN"/>
        </w:rPr>
        <w:t>（二）纪委监委人员1名、融媒体中心记者1名。</w:t>
      </w:r>
    </w:p>
    <w:p w14:paraId="7CB5E85C">
      <w:pPr>
        <w:pStyle w:val="3"/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七、新闻媒体</w:t>
      </w:r>
    </w:p>
    <w:p w14:paraId="6968BF6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64" w:firstLineChars="200"/>
        <w:jc w:val="left"/>
        <w:textAlignment w:val="auto"/>
        <w:rPr>
          <w:rFonts w:hint="eastAsia" w:ascii="仿宋_GB2312" w:hAnsi="仿宋_GB2312" w:eastAsia="仿宋_GB2312" w:cs="仿宋_GB2312"/>
          <w:spacing w:val="6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pacing w:val="6"/>
          <w:sz w:val="32"/>
          <w:szCs w:val="32"/>
          <w:highlight w:val="none"/>
          <w:lang w:val="en-US" w:eastAsia="zh-CN"/>
        </w:rPr>
        <w:t>第十四师昆玉市融媒体中心</w:t>
      </w:r>
    </w:p>
    <w:p w14:paraId="179A2ED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64" w:firstLineChars="200"/>
        <w:jc w:val="left"/>
        <w:textAlignment w:val="auto"/>
        <w:rPr>
          <w:rFonts w:hint="eastAsia" w:ascii="仿宋_GB2312" w:hAnsi="仿宋_GB2312" w:eastAsia="仿宋_GB2312" w:cs="仿宋_GB2312"/>
          <w:spacing w:val="6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pacing w:val="6"/>
          <w:sz w:val="32"/>
          <w:szCs w:val="32"/>
          <w:highlight w:val="none"/>
          <w:lang w:val="en-US" w:eastAsia="zh-CN"/>
        </w:rPr>
        <w:t>八、会议监督部门</w:t>
      </w:r>
    </w:p>
    <w:p w14:paraId="6809735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64" w:firstLineChars="200"/>
        <w:jc w:val="left"/>
        <w:textAlignment w:val="auto"/>
        <w:rPr>
          <w:rFonts w:hint="eastAsia" w:ascii="仿宋_GB2312" w:hAnsi="仿宋_GB2312" w:eastAsia="仿宋_GB2312" w:cs="仿宋_GB2312"/>
          <w:spacing w:val="6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pacing w:val="6"/>
          <w:sz w:val="32"/>
          <w:szCs w:val="32"/>
          <w:highlight w:val="none"/>
          <w:lang w:val="en-US" w:eastAsia="zh-CN"/>
        </w:rPr>
        <w:t>第十四师昆玉市纪委监委</w:t>
      </w:r>
    </w:p>
    <w:p w14:paraId="7F5F58D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64" w:firstLineChars="200"/>
        <w:jc w:val="left"/>
        <w:textAlignment w:val="auto"/>
        <w:rPr>
          <w:rFonts w:hint="eastAsia" w:ascii="仿宋_GB2312" w:hAnsi="仿宋_GB2312" w:eastAsia="仿宋_GB2312" w:cs="仿宋_GB2312"/>
          <w:spacing w:val="6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pacing w:val="6"/>
          <w:sz w:val="32"/>
          <w:szCs w:val="32"/>
          <w:highlight w:val="none"/>
          <w:lang w:val="en-US" w:eastAsia="zh-CN"/>
        </w:rPr>
        <w:t>九、咨询电话和联系人</w:t>
      </w:r>
    </w:p>
    <w:p w14:paraId="2B2A6FD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64" w:firstLineChars="200"/>
        <w:jc w:val="left"/>
        <w:textAlignment w:val="auto"/>
        <w:rPr>
          <w:rFonts w:hint="default" w:ascii="仿宋_GB2312" w:hAnsi="仿宋_GB2312" w:eastAsia="仿宋_GB2312" w:cs="仿宋_GB2312"/>
          <w:spacing w:val="6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pacing w:val="6"/>
          <w:sz w:val="32"/>
          <w:szCs w:val="32"/>
          <w:highlight w:val="none"/>
          <w:lang w:val="en-US" w:eastAsia="zh-CN"/>
        </w:rPr>
        <w:t>联系人：李皖钰           咨询电话：0903-2566058</w:t>
      </w:r>
    </w:p>
    <w:p w14:paraId="4FEFAFC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64" w:firstLineChars="200"/>
        <w:jc w:val="left"/>
        <w:textAlignment w:val="auto"/>
        <w:rPr>
          <w:rFonts w:hint="eastAsia" w:ascii="仿宋_GB2312" w:hAnsi="仿宋_GB2312" w:eastAsia="仿宋_GB2312" w:cs="仿宋_GB2312"/>
          <w:spacing w:val="6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pacing w:val="6"/>
          <w:sz w:val="32"/>
          <w:szCs w:val="32"/>
          <w:highlight w:val="none"/>
          <w:lang w:val="en-US" w:eastAsia="zh-CN"/>
        </w:rPr>
        <w:t xml:space="preserve">特此公告。          </w:t>
      </w:r>
    </w:p>
    <w:p w14:paraId="6FD7585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64" w:firstLineChars="200"/>
        <w:jc w:val="left"/>
        <w:textAlignment w:val="auto"/>
        <w:rPr>
          <w:rFonts w:hint="default" w:ascii="仿宋_GB2312" w:hAnsi="仿宋_GB2312" w:eastAsia="仿宋_GB2312" w:cs="仿宋_GB2312"/>
          <w:spacing w:val="6"/>
          <w:sz w:val="32"/>
          <w:szCs w:val="32"/>
          <w:highlight w:val="none"/>
          <w:lang w:val="en-US" w:eastAsia="zh-CN"/>
        </w:rPr>
      </w:pPr>
    </w:p>
    <w:p w14:paraId="5082D6E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64" w:firstLineChars="200"/>
        <w:jc w:val="left"/>
        <w:textAlignment w:val="auto"/>
        <w:rPr>
          <w:rFonts w:hint="default" w:ascii="仿宋_GB2312" w:hAnsi="仿宋_GB2312" w:eastAsia="仿宋_GB2312" w:cs="仿宋_GB2312"/>
          <w:spacing w:val="6"/>
          <w:sz w:val="32"/>
          <w:szCs w:val="32"/>
          <w:highlight w:val="none"/>
          <w:lang w:val="en-US" w:eastAsia="zh-CN"/>
        </w:rPr>
      </w:pPr>
    </w:p>
    <w:p w14:paraId="47FBFE6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64" w:firstLineChars="200"/>
        <w:jc w:val="left"/>
        <w:textAlignment w:val="auto"/>
        <w:rPr>
          <w:rFonts w:hint="default" w:ascii="仿宋_GB2312" w:hAnsi="仿宋_GB2312" w:eastAsia="仿宋_GB2312" w:cs="仿宋_GB2312"/>
          <w:spacing w:val="6"/>
          <w:sz w:val="32"/>
          <w:szCs w:val="32"/>
          <w:highlight w:val="none"/>
          <w:lang w:val="en-US" w:eastAsia="zh-CN"/>
        </w:rPr>
      </w:pPr>
    </w:p>
    <w:p w14:paraId="0DF52FF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64" w:firstLineChars="200"/>
        <w:jc w:val="left"/>
        <w:textAlignment w:val="auto"/>
        <w:rPr>
          <w:rFonts w:hint="default" w:ascii="仿宋_GB2312" w:hAnsi="仿宋_GB2312" w:eastAsia="仿宋_GB2312" w:cs="仿宋_GB2312"/>
          <w:spacing w:val="6"/>
          <w:sz w:val="32"/>
          <w:szCs w:val="32"/>
          <w:highlight w:val="none"/>
          <w:lang w:val="en-US" w:eastAsia="zh-CN"/>
        </w:rPr>
      </w:pPr>
      <w:r>
        <w:rPr>
          <w:rFonts w:hint="default" w:ascii="仿宋_GB2312" w:hAnsi="仿宋_GB2312" w:eastAsia="仿宋_GB2312" w:cs="仿宋_GB2312"/>
          <w:spacing w:val="6"/>
          <w:sz w:val="32"/>
          <w:szCs w:val="32"/>
          <w:highlight w:val="none"/>
          <w:lang w:val="en-US" w:eastAsia="zh-CN"/>
        </w:rPr>
        <w:t xml:space="preserve">                 </w:t>
      </w:r>
      <w:r>
        <w:rPr>
          <w:rFonts w:hint="eastAsia" w:ascii="仿宋_GB2312" w:hAnsi="仿宋_GB2312" w:eastAsia="仿宋_GB2312" w:cs="仿宋_GB2312"/>
          <w:spacing w:val="6"/>
          <w:sz w:val="32"/>
          <w:szCs w:val="32"/>
          <w:highlight w:val="none"/>
          <w:lang w:val="en-US" w:eastAsia="zh-CN"/>
        </w:rPr>
        <w:t>第十四师</w:t>
      </w:r>
      <w:r>
        <w:rPr>
          <w:rFonts w:hint="default" w:ascii="仿宋_GB2312" w:hAnsi="仿宋_GB2312" w:eastAsia="仿宋_GB2312" w:cs="仿宋_GB2312"/>
          <w:spacing w:val="6"/>
          <w:sz w:val="32"/>
          <w:szCs w:val="32"/>
          <w:highlight w:val="none"/>
          <w:lang w:val="en-US" w:eastAsia="zh-CN"/>
        </w:rPr>
        <w:t>发展和改革委员会</w:t>
      </w:r>
    </w:p>
    <w:p w14:paraId="61CE3F0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64" w:firstLineChars="200"/>
        <w:jc w:val="center"/>
        <w:textAlignment w:val="auto"/>
        <w:rPr>
          <w:rFonts w:hint="default" w:ascii="仿宋_GB2312" w:hAnsi="仿宋_GB2312" w:eastAsia="仿宋_GB2312" w:cs="仿宋_GB2312"/>
          <w:spacing w:val="6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pacing w:val="6"/>
          <w:sz w:val="32"/>
          <w:szCs w:val="32"/>
          <w:highlight w:val="none"/>
          <w:lang w:val="en-US" w:eastAsia="zh-CN"/>
        </w:rPr>
        <w:t xml:space="preserve">         </w:t>
      </w:r>
      <w:r>
        <w:rPr>
          <w:rFonts w:hint="default" w:ascii="仿宋_GB2312" w:hAnsi="仿宋_GB2312" w:eastAsia="仿宋_GB2312" w:cs="仿宋_GB2312"/>
          <w:spacing w:val="6"/>
          <w:sz w:val="32"/>
          <w:szCs w:val="32"/>
          <w:highlight w:val="none"/>
          <w:lang w:val="en-US" w:eastAsia="zh-CN"/>
        </w:rPr>
        <w:t>202</w:t>
      </w:r>
      <w:r>
        <w:rPr>
          <w:rFonts w:hint="eastAsia" w:ascii="仿宋_GB2312" w:hAnsi="仿宋_GB2312" w:eastAsia="仿宋_GB2312" w:cs="仿宋_GB2312"/>
          <w:spacing w:val="6"/>
          <w:sz w:val="32"/>
          <w:szCs w:val="32"/>
          <w:highlight w:val="none"/>
          <w:lang w:val="en-US" w:eastAsia="zh-CN"/>
        </w:rPr>
        <w:t>6</w:t>
      </w:r>
      <w:r>
        <w:rPr>
          <w:rFonts w:hint="default" w:ascii="仿宋_GB2312" w:hAnsi="仿宋_GB2312" w:eastAsia="仿宋_GB2312" w:cs="仿宋_GB2312"/>
          <w:spacing w:val="6"/>
          <w:sz w:val="32"/>
          <w:szCs w:val="32"/>
          <w:highlight w:val="none"/>
          <w:lang w:val="en-US" w:eastAsia="zh-CN"/>
        </w:rPr>
        <w:t>年</w:t>
      </w:r>
      <w:r>
        <w:rPr>
          <w:rFonts w:hint="eastAsia" w:ascii="仿宋_GB2312" w:hAnsi="仿宋_GB2312" w:eastAsia="仿宋_GB2312" w:cs="仿宋_GB2312"/>
          <w:spacing w:val="6"/>
          <w:sz w:val="32"/>
          <w:szCs w:val="32"/>
          <w:highlight w:val="none"/>
          <w:lang w:val="en-US" w:eastAsia="zh-CN"/>
        </w:rPr>
        <w:t>6</w:t>
      </w:r>
      <w:r>
        <w:rPr>
          <w:rFonts w:hint="default" w:ascii="仿宋_GB2312" w:hAnsi="仿宋_GB2312" w:eastAsia="仿宋_GB2312" w:cs="仿宋_GB2312"/>
          <w:spacing w:val="6"/>
          <w:sz w:val="32"/>
          <w:szCs w:val="32"/>
          <w:highlight w:val="none"/>
          <w:lang w:val="en-US" w:eastAsia="zh-CN"/>
        </w:rPr>
        <w:t>月</w:t>
      </w:r>
      <w:r>
        <w:rPr>
          <w:rFonts w:hint="eastAsia" w:ascii="仿宋_GB2312" w:hAnsi="仿宋_GB2312" w:eastAsia="仿宋_GB2312" w:cs="仿宋_GB2312"/>
          <w:spacing w:val="6"/>
          <w:sz w:val="32"/>
          <w:szCs w:val="32"/>
          <w:highlight w:val="none"/>
          <w:lang w:val="en-US" w:eastAsia="zh-CN"/>
        </w:rPr>
        <w:t>9</w:t>
      </w:r>
      <w:r>
        <w:rPr>
          <w:rFonts w:hint="default" w:ascii="仿宋_GB2312" w:hAnsi="仿宋_GB2312" w:eastAsia="仿宋_GB2312" w:cs="仿宋_GB2312"/>
          <w:spacing w:val="6"/>
          <w:sz w:val="32"/>
          <w:szCs w:val="32"/>
          <w:highlight w:val="none"/>
          <w:lang w:val="en-US" w:eastAsia="zh-CN"/>
        </w:rPr>
        <w:t>日</w:t>
      </w:r>
    </w:p>
    <w:p w14:paraId="434557F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64" w:firstLineChars="200"/>
        <w:jc w:val="left"/>
        <w:textAlignment w:val="auto"/>
        <w:rPr>
          <w:rFonts w:hint="default" w:ascii="仿宋_GB2312" w:hAnsi="仿宋_GB2312" w:eastAsia="仿宋_GB2312" w:cs="仿宋_GB2312"/>
          <w:spacing w:val="6"/>
          <w:sz w:val="32"/>
          <w:szCs w:val="32"/>
          <w:highlight w:val="none"/>
          <w:lang w:val="en-US" w:eastAsia="zh-CN"/>
        </w:rPr>
      </w:pPr>
    </w:p>
    <w:p w14:paraId="1612373E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  <w:embedRegular r:id="rId1" w:fontKey="{17F11A98-DE9E-4C46-BBA6-F4690053C88E}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  <w:embedRegular r:id="rId2" w:fontKey="{1BF5B68F-A006-486F-B352-82AA07A07512}"/>
  </w:font>
  <w:font w:name="方正仿宋_GBK">
    <w:panose1 w:val="02000000000000000000"/>
    <w:charset w:val="86"/>
    <w:family w:val="script"/>
    <w:pitch w:val="default"/>
    <w:sig w:usb0="A00002BF" w:usb1="38CF7CFA" w:usb2="00082016" w:usb3="00000000" w:csb0="00040001" w:csb1="00000000"/>
    <w:embedRegular r:id="rId3" w:fontKey="{450F6677-5287-4A81-8B5D-CB929F84BBD5}"/>
  </w:font>
  <w:font w:name="Lucida Sans">
    <w:altName w:val="Lucida Sans Unicode"/>
    <w:panose1 w:val="020B0602030504020204"/>
    <w:charset w:val="00"/>
    <w:family w:val="auto"/>
    <w:pitch w:val="default"/>
    <w:sig w:usb0="00000000" w:usb1="00000000" w:usb2="00000000" w:usb3="00000000" w:csb0="20000001" w:csb1="00000000"/>
    <w:embedRegular r:id="rId4" w:fontKey="{C07606F7-1217-4DF3-8736-1503EFB903F7}"/>
  </w:font>
  <w:font w:name="Lucida Sans Unicode">
    <w:panose1 w:val="020B0602030504020204"/>
    <w:charset w:val="00"/>
    <w:family w:val="auto"/>
    <w:pitch w:val="default"/>
    <w:sig w:usb0="80001AFF" w:usb1="0000396B" w:usb2="00000000" w:usb3="00000000" w:csb0="200000BF" w:csb1="D7F7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5" w:fontKey="{16BE0266-86FF-4F12-B988-B73C3B690E18}"/>
  </w:font>
  <w:font w:name="方正楷体_GBK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6" w:fontKey="{66BC55EC-6AAB-4563-A5E8-302C40C50AA0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7" w:fontKey="{814636BD-8AD7-485E-ABF5-224AAE2B6891}"/>
  </w:font>
  <w:font w:name="华文新魏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Batang">
    <w:panose1 w:val="02030600000101010101"/>
    <w:charset w:val="81"/>
    <w:family w:val="auto"/>
    <w:pitch w:val="default"/>
    <w:sig w:usb0="B00002AF" w:usb1="69D77CFB" w:usb2="00000030" w:usb3="00000000" w:csb0="4008009F" w:csb1="DFD70000"/>
  </w:font>
  <w:font w:name="Meiryo">
    <w:panose1 w:val="020B0604030504040204"/>
    <w:charset w:val="80"/>
    <w:family w:val="auto"/>
    <w:pitch w:val="default"/>
    <w:sig w:usb0="E10102FF" w:usb1="EAC7FFFF" w:usb2="00010012" w:usb3="00000000" w:csb0="6002009F" w:csb1="DFD70000"/>
  </w:font>
  <w:font w:name="Calibri Light">
    <w:panose1 w:val="020F0302020204030204"/>
    <w:charset w:val="00"/>
    <w:family w:val="auto"/>
    <w:pitch w:val="default"/>
    <w:sig w:usb0="A00002EF" w:usb1="4000207B" w:usb2="00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B764EFB"/>
    <w:rsid w:val="03634626"/>
    <w:rsid w:val="092D39B7"/>
    <w:rsid w:val="0A4D1F02"/>
    <w:rsid w:val="0A682522"/>
    <w:rsid w:val="0D303E96"/>
    <w:rsid w:val="134C6B75"/>
    <w:rsid w:val="141072A3"/>
    <w:rsid w:val="171A0A3C"/>
    <w:rsid w:val="19BD0A4C"/>
    <w:rsid w:val="1A044015"/>
    <w:rsid w:val="1A4F0751"/>
    <w:rsid w:val="1EBA7398"/>
    <w:rsid w:val="1EC91389"/>
    <w:rsid w:val="216E6218"/>
    <w:rsid w:val="25C94365"/>
    <w:rsid w:val="28AA3FD9"/>
    <w:rsid w:val="2BBE7D9C"/>
    <w:rsid w:val="2C3B0F6B"/>
    <w:rsid w:val="2CE33F5E"/>
    <w:rsid w:val="2EBC045D"/>
    <w:rsid w:val="303625F7"/>
    <w:rsid w:val="31271F3F"/>
    <w:rsid w:val="3570401E"/>
    <w:rsid w:val="36C80F8C"/>
    <w:rsid w:val="38303DCF"/>
    <w:rsid w:val="3B7346FF"/>
    <w:rsid w:val="464949DA"/>
    <w:rsid w:val="48710218"/>
    <w:rsid w:val="4A6D0B6E"/>
    <w:rsid w:val="4A985F30"/>
    <w:rsid w:val="4B764EFB"/>
    <w:rsid w:val="5300745B"/>
    <w:rsid w:val="53620E89"/>
    <w:rsid w:val="55B654BC"/>
    <w:rsid w:val="569E667C"/>
    <w:rsid w:val="612620F2"/>
    <w:rsid w:val="67B30320"/>
    <w:rsid w:val="694330B3"/>
    <w:rsid w:val="6A9A6D03"/>
    <w:rsid w:val="6AE12B83"/>
    <w:rsid w:val="6AFD04FA"/>
    <w:rsid w:val="6DAB567A"/>
    <w:rsid w:val="70B647F9"/>
    <w:rsid w:val="757302BE"/>
    <w:rsid w:val="76D67694"/>
    <w:rsid w:val="7ED94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99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spacing w:before="340" w:beforeLines="0" w:after="330" w:afterLines="0" w:line="480" w:lineRule="exact"/>
      <w:ind w:leftChars="200"/>
      <w:outlineLvl w:val="0"/>
    </w:pPr>
    <w:rPr>
      <w:rFonts w:eastAsia="黑体" w:asciiTheme="minorAscii" w:hAnsiTheme="minorAscii"/>
      <w:bCs/>
      <w:kern w:val="44"/>
      <w:sz w:val="32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itle"/>
    <w:basedOn w:val="1"/>
    <w:next w:val="1"/>
    <w:qFormat/>
    <w:uiPriority w:val="99"/>
    <w:pPr>
      <w:overflowPunct w:val="0"/>
      <w:adjustRightInd w:val="0"/>
      <w:snapToGrid w:val="0"/>
      <w:spacing w:line="440" w:lineRule="exact"/>
      <w:jc w:val="center"/>
      <w:outlineLvl w:val="0"/>
    </w:pPr>
    <w:rPr>
      <w:rFonts w:ascii="Cambria" w:hAnsi="Cambria" w:eastAsia="方正小标宋_GBK" w:cs="Cambria"/>
      <w:sz w:val="32"/>
      <w:szCs w:val="32"/>
    </w:rPr>
  </w:style>
  <w:style w:type="paragraph" w:styleId="4">
    <w:name w:val="Body Text"/>
    <w:basedOn w:val="1"/>
    <w:next w:val="1"/>
    <w:qFormat/>
    <w:uiPriority w:val="99"/>
    <w:pPr>
      <w:spacing w:after="120" w:line="360" w:lineRule="exact"/>
    </w:p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0">
    <w:name w:val="font41"/>
    <w:basedOn w:val="9"/>
    <w:qFormat/>
    <w:uiPriority w:val="0"/>
    <w:rPr>
      <w:rFonts w:hint="default" w:ascii="Times New Roman" w:hAnsi="Times New Roman" w:cs="Times New Roman"/>
      <w:b/>
      <w:bCs/>
      <w:color w:val="000000"/>
      <w:sz w:val="28"/>
      <w:szCs w:val="28"/>
      <w:u w:val="none"/>
    </w:rPr>
  </w:style>
  <w:style w:type="character" w:customStyle="1" w:styleId="11">
    <w:name w:val="font11"/>
    <w:basedOn w:val="9"/>
    <w:qFormat/>
    <w:uiPriority w:val="0"/>
    <w:rPr>
      <w:rFonts w:hint="eastAsia" w:ascii="方正仿宋_GBK" w:hAnsi="方正仿宋_GBK" w:eastAsia="方正仿宋_GBK" w:cs="方正仿宋_GBK"/>
      <w:b/>
      <w:bCs/>
      <w:color w:val="000000"/>
      <w:sz w:val="28"/>
      <w:szCs w:val="28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>
    <reviewItem>
      <errorID>f6cd500d-ad01-49b6-b8d9-364a4612e9c8</errorID>
      <errorWord>下午16：30</errorWord>
      <group>L1_Knowledge</group>
      <groupName>知识性问题</groupName>
      <ability>L2_Time</ability>
      <abilityName>日期时间</abilityName>
      <candidateList>
        <item>16:30</item>
      </candidateList>
      <explain>24小时制的时间，不需要强调“下午”，并且冒号应使用半角。</explain>
      <paraID>7D76683C</paraID>
      <start>17</start>
      <end>24</end>
      <status>unmodified</status>
      <modifiedWord/>
      <trackRevisions>false</trackRevisions>
    </reviewItem>
    <reviewItem>
      <errorID>ab86830d-74a3-443a-b331-e723c53beb2a</errorID>
      <errorWord>(</errorWord>
      <group>L1_Format</group>
      <groupName>格式问题</groupName>
      <ability>L2_HalfPunc</ability>
      <abilityName>全半角检查</abilityName>
      <candidateList>
        <item>（</item>
      </candidateList>
      <explain>文本全半角错误。</explain>
      <paraID>54EA032B</paraID>
      <start>16</start>
      <end>17</end>
      <status>modified</status>
      <modifiedWord>（</modifiedWord>
      <trackRevisions>false</trackRevisions>
    </reviewItem>
    <reviewItem>
      <errorID>d704f46b-1ee9-43ce-a0c8-127dc8c8fecb</errorID>
      <errorWord>(</errorWord>
      <group>L1_Punc</group>
      <groupName>标点问题</groupName>
      <ability>L2_Punc</ability>
      <abilityName>标点符号检查</abilityName>
      <candidateList/>
      <explain>同一形式括号套用。</explain>
      <paraID>54EA032B</paraID>
      <start>38</start>
      <end>39</end>
      <status>unmodified</status>
      <modifiedWord/>
      <trackRevisions>false</trackRevisions>
    </reviewItem>
    <reviewItem>
      <errorID>272cbff6-5b50-482f-953c-39fa6cb8ada9</errorID>
      <errorWord>)</errorWord>
      <group>L1_Punc</group>
      <groupName>标点问题</groupName>
      <ability>L2_Punc</ability>
      <abilityName>标点符号检查</abilityName>
      <candidateList/>
      <explain>同一形式括号套用。</explain>
      <paraID>54EA032B</paraID>
      <start>40</start>
      <end>41</end>
      <status>unmodified</status>
      <modifiedWord/>
      <trackRevisions>false</trackRevisions>
    </reviewItem>
    <reviewItem>
      <errorID>e9a16825-21a4-4b1d-984e-a24151e98209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54EA032B</paraID>
      <start>49</start>
      <end>50</end>
      <status>modified</status>
      <modifiedWord>）</modifiedWord>
      <trackRevisions>false</trackRevisions>
    </reviewItem>
    <reviewItem>
      <errorID>b8010e54-52d8-47e7-abee-743018781580</errorID>
      <errorWord>、和</errorWord>
      <group>L1_Grammar</group>
      <groupName>语法问题</groupName>
      <ability>L2_Order</ability>
      <abilityName>语序不当</abilityName>
      <candidateList>
        <item>、</item>
      </candidateList>
      <explain>句子可能没有遵循时空、逻辑顺序，或者介词、关联词等位置不当。</explain>
      <paraID>54EA032B</paraID>
      <start>61</start>
      <end>62</end>
      <status>modified</status>
      <modifiedWord>、</modifiedWord>
      <trackRevisions>false</trackRevisions>
    </reviewItem>
    <reviewItem>
      <errorID>d8173a49-53fc-496f-bd4a-58035f2462fc</errorID>
      <errorWord>(</errorWord>
      <group>L1_Format</group>
      <groupName>格式问题</groupName>
      <ability>L2_HalfPunc</ability>
      <abilityName>全半角检查</abilityName>
      <candidateList>
        <item>（</item>
      </candidateList>
      <explain>文本全半角错误。</explain>
      <paraID>54EA032B</paraID>
      <start>98</start>
      <end>99</end>
      <status>modified</status>
      <modifiedWord>（</modifiedWord>
      <trackRevisions>false</trackRevisions>
    </reviewItem>
    <reviewItem>
      <errorID>188e9b1f-790c-4bc6-a12f-ffdf58a6bdcd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54EA032B</paraID>
      <start>105</start>
      <end>106</end>
      <status>modified</status>
      <modifiedWord>）</modifiedWord>
      <trackRevisions>false</trackRevisions>
    </reviewItem>
    <reviewItem>
      <errorID>15bd75fa-f99e-4c9b-96d1-fdf4f6ee51f5</errorID>
      <errorWord>及</errorWord>
      <group>L1_Grammar</group>
      <groupName>语法问题</groupName>
      <ability>L2_Order</ability>
      <abilityName>语序不当</abilityName>
      <candidateList>
        <item>%</item>
      </candidateList>
      <explain>句子可能没有遵循时空、逻辑顺序，或者介词、关联词等位置不当。</explain>
      <paraID>17C90F46</paraID>
      <start>12</start>
      <end>13</end>
      <status>modified</status>
      <modifiedWord>%</modifiedWord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637c5c74-221a-4f3c-81ba-5ce0a2bc61a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850</Words>
  <Characters>929</Characters>
  <Lines>0</Lines>
  <Paragraphs>0</Paragraphs>
  <TotalTime>16</TotalTime>
  <ScaleCrop>false</ScaleCrop>
  <LinksUpToDate>false</LinksUpToDate>
  <CharactersWithSpaces>929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2026-01-29T08:43:00Z</dcterms:created>
  <dc:creator>桃之夭夭</dc:creator>
  <cp:lastModifiedBy>十四师政务网</cp:lastModifiedBy>
  <cp:lastPrinted>2026-06-09T03:31:03Z</cp:lastPrinted>
  <dcterms:modified xsi:type="dcterms:W3CDTF">2026-06-09T08:40:35Z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ICV">
    <vt:lpwstr>7585DF27AB1A49F2825902BF57C7131C_13</vt:lpwstr>
  </property>
  <property fmtid="{D5CDD505-2E9C-101B-9397-08002B2CF9AE}" pid="4" name="KSOTemplateDocerSaveRecord">
    <vt:lpwstr>eyJoZGlkIjoiNjNkMTQ3MDZjZDQwOGM4ZTVjY2I5OTgzNjVmYmVlZmQiLCJ1c2VySWQiOiIxNjU2NTU0MjE4In0=</vt:lpwstr>
  </property>
</Properties>
</file>