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30FAF2">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0" w:name="OLE_LINK73"/>
      <w:bookmarkStart w:id="1" w:name="DYNAMIC—DWXX—tAj_dwmc"/>
      <w:r>
        <w:rPr>
          <w:rFonts w:hint="eastAsia" w:ascii="新宋体" w:hAnsi="新宋体" w:eastAsia="新宋体"/>
          <w:color w:val="auto"/>
          <w:sz w:val="32"/>
          <w:szCs w:val="32"/>
        </w:rPr>
        <w:t>行政处罚信息摘要</w:t>
      </w:r>
      <w:bookmarkEnd w:id="0"/>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774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126298F8">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行政处罚决定书文号</w:t>
            </w:r>
          </w:p>
        </w:tc>
        <w:tc>
          <w:tcPr>
            <w:tcW w:w="4634" w:type="dxa"/>
            <w:noWrap w:val="0"/>
            <w:vAlign w:val="top"/>
          </w:tcPr>
          <w:p w14:paraId="7B1FBE46">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2"/>
                <w:szCs w:val="22"/>
              </w:rPr>
            </w:pPr>
            <w:r>
              <w:rPr>
                <w:rFonts w:hint="eastAsia" w:ascii="仿宋_GB2312" w:hAnsi="黑体" w:eastAsia="仿宋_GB2312"/>
                <w:color w:val="auto"/>
                <w:sz w:val="22"/>
                <w:szCs w:val="22"/>
              </w:rPr>
              <w:t>十四师市监处罚〔202</w:t>
            </w:r>
            <w:r>
              <w:rPr>
                <w:rFonts w:hint="eastAsia" w:ascii="仿宋_GB2312" w:hAnsi="黑体" w:eastAsia="仿宋_GB2312"/>
                <w:color w:val="auto"/>
                <w:sz w:val="22"/>
                <w:szCs w:val="22"/>
                <w:lang w:val="en-US" w:eastAsia="zh-CN"/>
              </w:rPr>
              <w:t>6</w:t>
            </w:r>
            <w:r>
              <w:rPr>
                <w:rFonts w:hint="eastAsia" w:ascii="仿宋_GB2312" w:hAnsi="黑体" w:eastAsia="仿宋_GB2312"/>
                <w:color w:val="auto"/>
                <w:sz w:val="22"/>
                <w:szCs w:val="22"/>
              </w:rPr>
              <w:t>〕</w:t>
            </w:r>
            <w:r>
              <w:rPr>
                <w:rFonts w:hint="eastAsia" w:ascii="仿宋_GB2312" w:hAnsi="黑体" w:eastAsia="仿宋_GB2312"/>
                <w:color w:val="auto"/>
                <w:sz w:val="22"/>
                <w:szCs w:val="22"/>
                <w:lang w:val="en-US" w:eastAsia="zh-CN"/>
              </w:rPr>
              <w:t>46</w:t>
            </w:r>
            <w:r>
              <w:rPr>
                <w:rFonts w:hint="eastAsia" w:ascii="仿宋_GB2312" w:hAnsi="黑体" w:eastAsia="仿宋_GB2312"/>
                <w:color w:val="auto"/>
                <w:sz w:val="22"/>
                <w:szCs w:val="22"/>
              </w:rPr>
              <w:t>号</w:t>
            </w:r>
          </w:p>
        </w:tc>
      </w:tr>
      <w:tr w14:paraId="32AB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5C1CCD33">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bdr w:val="single" w:color="auto" w:sz="4" w:space="0"/>
              </w:rPr>
            </w:pPr>
          </w:p>
          <w:p w14:paraId="158ABD30">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行政处罚当事人基本情况</w:t>
            </w:r>
          </w:p>
        </w:tc>
        <w:tc>
          <w:tcPr>
            <w:tcW w:w="954" w:type="dxa"/>
            <w:vMerge w:val="restart"/>
            <w:noWrap w:val="0"/>
            <w:vAlign w:val="top"/>
          </w:tcPr>
          <w:p w14:paraId="13C6A727">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个人</w:t>
            </w:r>
          </w:p>
        </w:tc>
        <w:tc>
          <w:tcPr>
            <w:tcW w:w="1980" w:type="dxa"/>
            <w:noWrap w:val="0"/>
            <w:vAlign w:val="top"/>
          </w:tcPr>
          <w:p w14:paraId="4AD10AC4">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bdr w:val="single" w:color="auto" w:sz="4" w:space="0"/>
              </w:rPr>
            </w:pPr>
            <w:r>
              <w:rPr>
                <w:rFonts w:hint="eastAsia" w:ascii="仿宋_GB2312" w:hAnsi="黑体" w:eastAsia="仿宋_GB2312"/>
                <w:color w:val="auto"/>
                <w:sz w:val="20"/>
                <w:szCs w:val="20"/>
              </w:rPr>
              <w:t>姓名（名称）</w:t>
            </w:r>
          </w:p>
        </w:tc>
        <w:tc>
          <w:tcPr>
            <w:tcW w:w="4634" w:type="dxa"/>
            <w:noWrap w:val="0"/>
            <w:vAlign w:val="top"/>
          </w:tcPr>
          <w:p w14:paraId="247EDCF2">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default" w:ascii="仿宋_GB2312" w:hAnsi="黑体" w:eastAsia="仿宋_GB2312"/>
                <w:color w:val="auto"/>
                <w:sz w:val="22"/>
                <w:szCs w:val="22"/>
                <w:lang w:val="en-US" w:eastAsia="zh-CN"/>
              </w:rPr>
            </w:pPr>
            <w:r>
              <w:rPr>
                <w:rFonts w:hint="default" w:ascii="仿宋_GB2312" w:hAnsi="黑体" w:eastAsia="仿宋_GB2312" w:cs="Times New Roman"/>
                <w:color w:val="auto"/>
                <w:sz w:val="22"/>
                <w:szCs w:val="22"/>
                <w:lang w:val="en-US" w:eastAsia="zh-CN"/>
              </w:rPr>
              <w:t>哈吉阿卜杜拉·努尔麦麦提</w:t>
            </w:r>
          </w:p>
        </w:tc>
      </w:tr>
      <w:tr w14:paraId="3695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EE82F19">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954" w:type="dxa"/>
            <w:vMerge w:val="continue"/>
            <w:noWrap w:val="0"/>
            <w:vAlign w:val="top"/>
          </w:tcPr>
          <w:p w14:paraId="69807905">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1980" w:type="dxa"/>
            <w:noWrap w:val="0"/>
            <w:vAlign w:val="top"/>
          </w:tcPr>
          <w:p w14:paraId="73AFF417">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注册号</w:t>
            </w:r>
          </w:p>
        </w:tc>
        <w:tc>
          <w:tcPr>
            <w:tcW w:w="4634" w:type="dxa"/>
            <w:noWrap w:val="0"/>
            <w:vAlign w:val="top"/>
          </w:tcPr>
          <w:p w14:paraId="5FBC88A2">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2"/>
                <w:szCs w:val="22"/>
                <w:lang w:val="en-US" w:eastAsia="zh-CN"/>
              </w:rPr>
            </w:pPr>
            <w:r>
              <w:rPr>
                <w:rFonts w:hint="eastAsia" w:ascii="仿宋_GB2312" w:hAnsi="黑体" w:eastAsia="仿宋_GB2312"/>
                <w:color w:val="auto"/>
                <w:sz w:val="22"/>
                <w:szCs w:val="22"/>
                <w:lang w:val="en-US" w:eastAsia="zh-CN"/>
              </w:rPr>
              <w:t>/</w:t>
            </w:r>
          </w:p>
        </w:tc>
      </w:tr>
      <w:tr w14:paraId="12CD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4BFFE9A8">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954" w:type="dxa"/>
            <w:vMerge w:val="restart"/>
            <w:noWrap w:val="0"/>
            <w:vAlign w:val="top"/>
          </w:tcPr>
          <w:p w14:paraId="4AD87BB7">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单位</w:t>
            </w:r>
          </w:p>
        </w:tc>
        <w:tc>
          <w:tcPr>
            <w:tcW w:w="1980" w:type="dxa"/>
            <w:noWrap w:val="0"/>
            <w:vAlign w:val="top"/>
          </w:tcPr>
          <w:p w14:paraId="6AAD8CA9">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名称</w:t>
            </w:r>
          </w:p>
        </w:tc>
        <w:tc>
          <w:tcPr>
            <w:tcW w:w="4634" w:type="dxa"/>
            <w:noWrap w:val="0"/>
            <w:vAlign w:val="top"/>
          </w:tcPr>
          <w:p w14:paraId="0849CC9A">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0"/>
                <w:szCs w:val="20"/>
                <w:lang w:val="en-US" w:eastAsia="zh-CN"/>
              </w:rPr>
            </w:pPr>
            <w:r>
              <w:rPr>
                <w:rFonts w:hint="eastAsia" w:ascii="仿宋_GB2312" w:hAnsi="黑体" w:eastAsia="仿宋_GB2312"/>
                <w:color w:val="auto"/>
                <w:sz w:val="20"/>
                <w:szCs w:val="20"/>
                <w:lang w:val="en-US" w:eastAsia="zh-CN"/>
              </w:rPr>
              <w:t>/</w:t>
            </w:r>
          </w:p>
        </w:tc>
      </w:tr>
      <w:tr w14:paraId="266A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0F7BBE7C">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954" w:type="dxa"/>
            <w:vMerge w:val="continue"/>
            <w:noWrap w:val="0"/>
            <w:vAlign w:val="top"/>
          </w:tcPr>
          <w:p w14:paraId="40093456">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1980" w:type="dxa"/>
            <w:noWrap w:val="0"/>
            <w:vAlign w:val="top"/>
          </w:tcPr>
          <w:p w14:paraId="024B8B64">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注册号</w:t>
            </w:r>
          </w:p>
        </w:tc>
        <w:tc>
          <w:tcPr>
            <w:tcW w:w="4634" w:type="dxa"/>
            <w:noWrap w:val="0"/>
            <w:vAlign w:val="top"/>
          </w:tcPr>
          <w:p w14:paraId="558DBFAE">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0"/>
                <w:szCs w:val="20"/>
                <w:lang w:val="en-US" w:eastAsia="zh-CN"/>
              </w:rPr>
            </w:pPr>
            <w:r>
              <w:rPr>
                <w:rFonts w:hint="eastAsia" w:ascii="仿宋_GB2312" w:hAnsi="黑体" w:eastAsia="仿宋_GB2312"/>
                <w:color w:val="auto"/>
                <w:sz w:val="20"/>
                <w:szCs w:val="20"/>
                <w:lang w:val="en-US" w:eastAsia="zh-CN"/>
              </w:rPr>
              <w:t>/</w:t>
            </w:r>
          </w:p>
        </w:tc>
      </w:tr>
      <w:tr w14:paraId="4BB9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54" w:type="dxa"/>
            <w:vMerge w:val="continue"/>
            <w:noWrap w:val="0"/>
            <w:vAlign w:val="top"/>
          </w:tcPr>
          <w:p w14:paraId="56E89847">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954" w:type="dxa"/>
            <w:vMerge w:val="continue"/>
            <w:noWrap w:val="0"/>
            <w:vAlign w:val="top"/>
          </w:tcPr>
          <w:p w14:paraId="41EDE45A">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tc>
        <w:tc>
          <w:tcPr>
            <w:tcW w:w="1980" w:type="dxa"/>
            <w:noWrap w:val="0"/>
            <w:vAlign w:val="top"/>
          </w:tcPr>
          <w:p w14:paraId="7F475605">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eastAsia" w:ascii="仿宋_GB2312" w:hAnsi="黑体" w:eastAsia="仿宋_GB2312"/>
                <w:color w:val="auto"/>
                <w:sz w:val="20"/>
                <w:szCs w:val="20"/>
              </w:rPr>
            </w:pPr>
            <w:r>
              <w:rPr>
                <w:rFonts w:hint="eastAsia" w:ascii="仿宋_GB2312" w:hAnsi="黑体" w:eastAsia="仿宋_GB2312"/>
                <w:color w:val="auto"/>
                <w:sz w:val="20"/>
                <w:szCs w:val="20"/>
              </w:rPr>
              <w:t>法定代表人（负责人）姓名</w:t>
            </w:r>
          </w:p>
        </w:tc>
        <w:tc>
          <w:tcPr>
            <w:tcW w:w="4634" w:type="dxa"/>
            <w:noWrap w:val="0"/>
            <w:vAlign w:val="top"/>
          </w:tcPr>
          <w:p w14:paraId="75B69FB9">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autoSpaceDE w:val="0"/>
              <w:autoSpaceDN/>
              <w:bidi w:val="0"/>
              <w:adjustRightInd/>
              <w:snapToGrid/>
              <w:spacing w:line="320" w:lineRule="exact"/>
              <w:ind w:firstLine="2200" w:firstLineChars="1000"/>
              <w:jc w:val="both"/>
              <w:textAlignment w:val="auto"/>
              <w:rPr>
                <w:rFonts w:hint="default" w:ascii="仿宋_GB2312" w:hAnsi="黑体" w:eastAsia="仿宋_GB2312"/>
                <w:color w:val="auto"/>
                <w:sz w:val="22"/>
                <w:szCs w:val="22"/>
                <w:lang w:val="en-US" w:eastAsia="zh-CN"/>
              </w:rPr>
            </w:pPr>
            <w:r>
              <w:rPr>
                <w:rFonts w:hint="eastAsia" w:ascii="仿宋_GB2312" w:hAnsi="黑体" w:eastAsia="仿宋_GB2312"/>
                <w:color w:val="auto"/>
                <w:sz w:val="22"/>
                <w:szCs w:val="22"/>
                <w:lang w:val="en-US" w:eastAsia="zh-CN"/>
              </w:rPr>
              <w:t>/</w:t>
            </w:r>
          </w:p>
        </w:tc>
      </w:tr>
      <w:tr w14:paraId="1F1A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top"/>
          </w:tcPr>
          <w:p w14:paraId="16E67BFB">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违法行为类型</w:t>
            </w:r>
          </w:p>
        </w:tc>
        <w:tc>
          <w:tcPr>
            <w:tcW w:w="4634" w:type="dxa"/>
            <w:noWrap w:val="0"/>
            <w:vAlign w:val="top"/>
          </w:tcPr>
          <w:p w14:paraId="7BA87AD4">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autoSpaceDE w:val="0"/>
              <w:autoSpaceDN/>
              <w:bidi w:val="0"/>
              <w:adjustRightInd/>
              <w:snapToGrid/>
              <w:spacing w:line="320" w:lineRule="exact"/>
              <w:jc w:val="both"/>
              <w:textAlignment w:val="auto"/>
              <w:rPr>
                <w:rFonts w:hint="default" w:ascii="仿宋_GB2312" w:hAnsi="黑体" w:eastAsia="仿宋_GB2312"/>
                <w:color w:val="auto"/>
                <w:sz w:val="22"/>
                <w:szCs w:val="22"/>
                <w:lang w:val="en-US" w:eastAsia="zh-CN"/>
              </w:rPr>
            </w:pPr>
            <w:r>
              <w:rPr>
                <w:rFonts w:hint="eastAsia" w:ascii="仿宋_GB2312" w:hAnsi="黑体" w:eastAsia="仿宋_GB2312"/>
                <w:color w:val="auto"/>
                <w:sz w:val="22"/>
                <w:szCs w:val="22"/>
                <w:lang w:val="en-US" w:eastAsia="zh-CN"/>
              </w:rPr>
              <w:t>经营未经检验检疫的牛肉</w:t>
            </w:r>
            <w:r>
              <w:rPr>
                <w:rFonts w:hint="default" w:ascii="仿宋_GB2312" w:hAnsi="黑体" w:eastAsia="仿宋_GB2312"/>
                <w:color w:val="auto"/>
                <w:sz w:val="22"/>
                <w:szCs w:val="22"/>
                <w:lang w:val="en-US" w:eastAsia="zh-CN"/>
              </w:rPr>
              <w:t>的违法行为。</w:t>
            </w:r>
          </w:p>
        </w:tc>
      </w:tr>
      <w:tr w14:paraId="7518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3888" w:type="dxa"/>
            <w:gridSpan w:val="3"/>
            <w:noWrap w:val="0"/>
            <w:vAlign w:val="top"/>
          </w:tcPr>
          <w:p w14:paraId="4F1F80A0">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p>
          <w:p w14:paraId="2AA317F2">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行政处罚内容</w:t>
            </w:r>
          </w:p>
        </w:tc>
        <w:tc>
          <w:tcPr>
            <w:tcW w:w="4634" w:type="dxa"/>
            <w:noWrap w:val="0"/>
            <w:vAlign w:val="top"/>
          </w:tcPr>
          <w:p w14:paraId="7981D444">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default" w:ascii="仿宋_GB2312" w:hAnsi="黑体" w:eastAsia="仿宋_GB2312"/>
                <w:color w:val="auto"/>
                <w:sz w:val="18"/>
                <w:szCs w:val="18"/>
                <w:lang w:val="en-US"/>
              </w:rPr>
            </w:pPr>
            <w:r>
              <w:rPr>
                <w:rFonts w:hint="default" w:ascii="仿宋_GB2312" w:hAnsi="黑体" w:eastAsia="仿宋_GB2312" w:cs="Times New Roman"/>
                <w:color w:val="auto"/>
                <w:sz w:val="22"/>
                <w:szCs w:val="22"/>
                <w:lang w:val="en-US" w:eastAsia="zh-CN"/>
              </w:rPr>
              <w:t>没收违法所得1084元，并处罚款3084元，罚没款合计4168元（肆仟壹佰陆拾捌元整）。</w:t>
            </w:r>
          </w:p>
        </w:tc>
      </w:tr>
      <w:tr w14:paraId="6DC5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67FC44B">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作出行政处罚决定机关名称</w:t>
            </w:r>
          </w:p>
        </w:tc>
        <w:tc>
          <w:tcPr>
            <w:tcW w:w="4634" w:type="dxa"/>
            <w:noWrap w:val="0"/>
            <w:vAlign w:val="top"/>
          </w:tcPr>
          <w:p w14:paraId="6F13FAB0">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1"/>
                <w:szCs w:val="21"/>
              </w:rPr>
            </w:pPr>
            <w:r>
              <w:rPr>
                <w:rFonts w:hint="eastAsia" w:ascii="仿宋_GB2312" w:hAnsi="黑体" w:eastAsia="仿宋_GB2312"/>
                <w:color w:val="auto"/>
                <w:sz w:val="21"/>
                <w:szCs w:val="21"/>
              </w:rPr>
              <w:t>第十四师</w:t>
            </w:r>
            <w:r>
              <w:rPr>
                <w:rFonts w:hint="eastAsia" w:ascii="仿宋_GB2312" w:hAnsi="黑体" w:eastAsia="仿宋_GB2312"/>
                <w:color w:val="auto"/>
                <w:sz w:val="21"/>
                <w:szCs w:val="21"/>
                <w:lang w:eastAsia="zh-CN"/>
              </w:rPr>
              <w:t>昆玉市</w:t>
            </w:r>
            <w:r>
              <w:rPr>
                <w:rFonts w:hint="eastAsia" w:ascii="仿宋_GB2312" w:hAnsi="黑体" w:eastAsia="仿宋_GB2312"/>
                <w:color w:val="auto"/>
                <w:sz w:val="21"/>
                <w:szCs w:val="21"/>
              </w:rPr>
              <w:t>市场监督管理局</w:t>
            </w:r>
          </w:p>
        </w:tc>
      </w:tr>
      <w:tr w14:paraId="5457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7B14EA83">
            <w:pPr>
              <w:widowControl/>
              <w:pBdr>
                <w:top w:val="none" w:color="auto" w:sz="0" w:space="1"/>
                <w:left w:val="none" w:color="auto" w:sz="0" w:space="4"/>
                <w:bottom w:val="none" w:color="auto" w:sz="0" w:space="1"/>
                <w:right w:val="none" w:color="auto" w:sz="0" w:space="4"/>
              </w:pBdr>
              <w:spacing w:line="400" w:lineRule="exact"/>
              <w:jc w:val="both"/>
              <w:rPr>
                <w:rFonts w:hint="eastAsia" w:ascii="仿宋_GB2312" w:hAnsi="黑体" w:eastAsia="仿宋_GB2312"/>
                <w:color w:val="auto"/>
                <w:sz w:val="20"/>
                <w:szCs w:val="20"/>
              </w:rPr>
            </w:pPr>
            <w:r>
              <w:rPr>
                <w:rFonts w:hint="eastAsia" w:ascii="仿宋_GB2312" w:hAnsi="黑体" w:eastAsia="仿宋_GB2312"/>
                <w:color w:val="auto"/>
                <w:sz w:val="20"/>
                <w:szCs w:val="20"/>
              </w:rPr>
              <w:t>作出行政处罚决定日期</w:t>
            </w:r>
          </w:p>
        </w:tc>
        <w:tc>
          <w:tcPr>
            <w:tcW w:w="4634" w:type="dxa"/>
            <w:noWrap w:val="0"/>
            <w:vAlign w:val="top"/>
          </w:tcPr>
          <w:p w14:paraId="6569253A">
            <w:pPr>
              <w:widowControl/>
              <w:pBdr>
                <w:top w:val="none" w:color="auto" w:sz="0" w:space="1"/>
                <w:left w:val="none" w:color="auto" w:sz="0" w:space="4"/>
                <w:bottom w:val="none" w:color="auto" w:sz="0" w:space="1"/>
                <w:right w:val="none" w:color="auto" w:sz="0" w:space="4"/>
              </w:pBdr>
              <w:spacing w:line="400" w:lineRule="exact"/>
              <w:jc w:val="both"/>
              <w:rPr>
                <w:rFonts w:hint="default" w:ascii="仿宋_GB2312" w:hAnsi="黑体" w:eastAsia="仿宋_GB2312"/>
                <w:color w:val="auto"/>
                <w:sz w:val="21"/>
                <w:szCs w:val="21"/>
                <w:lang w:val="en-US" w:eastAsia="zh-CN"/>
              </w:rPr>
            </w:pPr>
            <w:r>
              <w:rPr>
                <w:rFonts w:hint="eastAsia" w:ascii="仿宋_GB2312" w:hAnsi="黑体" w:eastAsia="仿宋_GB2312"/>
                <w:color w:val="auto"/>
                <w:sz w:val="21"/>
                <w:szCs w:val="21"/>
                <w:lang w:val="en-US" w:eastAsia="zh-CN"/>
              </w:rPr>
              <w:t>2026年8月8日</w:t>
            </w:r>
          </w:p>
        </w:tc>
      </w:tr>
    </w:tbl>
    <w:p w14:paraId="76D6D2C7">
      <w:pPr>
        <w:numPr>
          <w:ilvl w:val="0"/>
          <w:numId w:val="2"/>
        </w:numPr>
        <w:spacing w:line="640" w:lineRule="exact"/>
        <w:jc w:val="both"/>
        <w:outlineLvl w:val="0"/>
        <w:rPr>
          <w:rFonts w:hint="default" w:ascii="Times New Roman" w:hAnsi="Times New Roman" w:eastAsia="方正小标宋简体" w:cs="Times New Roman"/>
          <w:color w:val="auto"/>
          <w:spacing w:val="-11"/>
          <w:sz w:val="44"/>
          <w:szCs w:val="44"/>
        </w:rPr>
      </w:pPr>
    </w:p>
    <w:p w14:paraId="6E8FCFAC">
      <w:pPr>
        <w:numPr>
          <w:ilvl w:val="0"/>
          <w:numId w:val="2"/>
        </w:numPr>
        <w:spacing w:line="640" w:lineRule="exact"/>
        <w:jc w:val="center"/>
        <w:outlineLvl w:val="0"/>
        <w:rPr>
          <w:rFonts w:hint="default" w:ascii="Times New Roman" w:hAnsi="Times New Roman" w:eastAsia="方正小标宋简体" w:cs="Times New Roman"/>
          <w:color w:val="auto"/>
          <w:spacing w:val="-11"/>
          <w:sz w:val="44"/>
          <w:szCs w:val="44"/>
        </w:rPr>
      </w:pPr>
      <w:r>
        <w:rPr>
          <w:rFonts w:hint="default" w:ascii="Times New Roman" w:hAnsi="Times New Roman" w:eastAsia="方正小标宋简体" w:cs="Times New Roman"/>
          <w:color w:val="000000"/>
          <w:spacing w:val="-11"/>
          <w:sz w:val="44"/>
          <w:u w:val="none"/>
        </w:rPr>
        <w:t>新疆生产建设兵团第十四师市场监督管理局</w:t>
      </w:r>
      <w:bookmarkEnd w:id="1"/>
    </w:p>
    <w:p w14:paraId="5A852AE0">
      <w:pPr>
        <w:pStyle w:val="2"/>
        <w:keepNext w:val="0"/>
        <w:numPr>
          <w:ilvl w:val="0"/>
          <w:numId w:val="2"/>
        </w:numPr>
        <w:spacing w:before="0" w:after="0" w:line="640" w:lineRule="exact"/>
        <w:jc w:val="center"/>
        <w:rPr>
          <w:rFonts w:hint="default" w:ascii="Times New Roman" w:hAnsi="Times New Roman" w:eastAsia="仿宋_GB2312" w:cs="Times New Roman"/>
          <w:color w:val="000000"/>
          <w:sz w:val="32"/>
          <w:u w:val="none"/>
        </w:rPr>
      </w:pPr>
      <w:bookmarkStart w:id="2" w:name="_Toc76683344"/>
      <w:r>
        <w:rPr>
          <w:rFonts w:hint="default" w:ascii="Times New Roman" w:hAnsi="Times New Roman" w:eastAsia="方正小标宋简体" w:cs="Times New Roman"/>
          <w:color w:val="000000"/>
          <w:sz w:val="44"/>
          <w:szCs w:val="44"/>
          <w:u w:val="none"/>
          <w:lang w:val="en-US"/>
        </w:rPr>
        <w:t>行政处罚</w:t>
      </w:r>
      <w:r>
        <w:rPr>
          <w:rFonts w:hint="default" w:ascii="Times New Roman" w:hAnsi="Times New Roman" w:eastAsia="方正小标宋简体" w:cs="Times New Roman"/>
          <w:color w:val="000000"/>
          <w:sz w:val="44"/>
          <w:szCs w:val="44"/>
          <w:u w:val="none"/>
          <w:lang w:val="en-US" w:eastAsia="zh-Hans"/>
        </w:rPr>
        <w:t>决定</w:t>
      </w:r>
      <w:r>
        <w:rPr>
          <w:rFonts w:hint="default" w:ascii="Times New Roman" w:hAnsi="Times New Roman" w:eastAsia="方正小标宋简体" w:cs="Times New Roman"/>
          <w:color w:val="000000"/>
          <w:sz w:val="44"/>
          <w:szCs w:val="44"/>
          <w:u w:val="none"/>
          <w:lang w:val="en-US"/>
        </w:rPr>
        <w:t>书</w:t>
      </w:r>
      <w:bookmarkEnd w:id="2"/>
      <w:bookmarkStart w:id="3" w:name="tAj_wh"/>
    </w:p>
    <w:p w14:paraId="3C4D8472">
      <w:pPr>
        <w:widowControl/>
        <w:snapToGrid w:val="0"/>
        <w:spacing w:line="560" w:lineRule="exact"/>
        <w:ind w:right="55"/>
        <w:jc w:val="center"/>
        <w:outlineLvl w:val="1"/>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color w:val="000000"/>
          <w:sz w:val="32"/>
          <w:u w:val="none"/>
        </w:rPr>
        <w:t>十四师市监处罚〔2026〕46号</w:t>
      </w:r>
      <w:bookmarkEnd w:id="3"/>
    </w:p>
    <w:p w14:paraId="7C40EE8C">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jc w:val="both"/>
        <w:textAlignment w:val="auto"/>
        <w:rPr>
          <w:rFonts w:hint="default" w:ascii="Times New Roman" w:hAnsi="Times New Roman" w:eastAsia="仿宋_GB2312" w:cs="Times New Roman"/>
          <w:b w:val="0"/>
          <w:bCs/>
          <w:color w:val="000000"/>
          <w:kern w:val="2"/>
          <w:sz w:val="32"/>
          <w:szCs w:val="32"/>
          <w:u w:val="none"/>
          <w:lang w:val="en-US" w:eastAsia="zh-CN" w:bidi="ar-SA"/>
        </w:rPr>
      </w:pPr>
    </w:p>
    <w:p w14:paraId="306742E6">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当事人：</w:t>
      </w:r>
      <w:r>
        <w:rPr>
          <w:rFonts w:hint="default" w:ascii="Times New Roman" w:hAnsi="Times New Roman" w:eastAsia="仿宋_GB2312" w:cs="Times New Roman"/>
          <w:b w:val="0"/>
          <w:bCs/>
          <w:color w:val="000000"/>
          <w:kern w:val="2"/>
          <w:sz w:val="32"/>
          <w:szCs w:val="32"/>
          <w:u w:val="single"/>
          <w:lang w:val="en-US" w:eastAsia="zh-CN" w:bidi="ar-SA"/>
        </w:rPr>
        <w:t xml:space="preserve">哈吉阿卜杜拉·努尔麦麦提         </w:t>
      </w:r>
      <w:r>
        <w:rPr>
          <w:rFonts w:hint="eastAsia" w:ascii="Times New Roman" w:eastAsia="仿宋_GB2312" w:cs="Times New Roman"/>
          <w:b w:val="0"/>
          <w:bCs/>
          <w:color w:val="000000"/>
          <w:kern w:val="2"/>
          <w:sz w:val="32"/>
          <w:szCs w:val="32"/>
          <w:u w:val="single"/>
          <w:lang w:val="en-US" w:eastAsia="zh-CN" w:bidi="ar-SA"/>
        </w:rPr>
        <w:t xml:space="preserve">       </w:t>
      </w:r>
      <w:r>
        <w:rPr>
          <w:rFonts w:hint="default" w:ascii="Times New Roman" w:hAnsi="Times New Roman" w:eastAsia="仿宋_GB2312" w:cs="Times New Roman"/>
          <w:b w:val="0"/>
          <w:bCs/>
          <w:color w:val="000000"/>
          <w:kern w:val="2"/>
          <w:sz w:val="32"/>
          <w:szCs w:val="32"/>
          <w:u w:val="single"/>
          <w:lang w:val="en-US" w:eastAsia="zh-CN" w:bidi="ar-SA"/>
        </w:rPr>
        <w:t xml:space="preserve">        </w:t>
      </w:r>
    </w:p>
    <w:p w14:paraId="65D5BF19">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jc w:val="both"/>
        <w:textAlignment w:val="auto"/>
        <w:rPr>
          <w:rFonts w:hint="default" w:ascii="Times New Roman" w:hAnsi="Times New Roman" w:eastAsia="仿宋_GB2312" w:cs="Times New Roman"/>
          <w:b w:val="0"/>
          <w:bCs/>
          <w:color w:val="auto"/>
          <w:kern w:val="2"/>
          <w:sz w:val="32"/>
          <w:szCs w:val="32"/>
          <w:u w:val="singl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身份证号码：</w:t>
      </w:r>
      <w:bookmarkStart w:id="4" w:name="dsrgtgshsfzhm"/>
      <w:r>
        <w:rPr>
          <w:rFonts w:hint="default" w:ascii="Times New Roman" w:hAnsi="Times New Roman" w:eastAsia="仿宋_GB2312" w:cs="Times New Roman"/>
          <w:b w:val="0"/>
          <w:bCs/>
          <w:color w:val="000000"/>
          <w:kern w:val="2"/>
          <w:sz w:val="32"/>
          <w:szCs w:val="32"/>
          <w:u w:val="single"/>
          <w:lang w:val="en-US" w:eastAsia="zh-CN" w:bidi="ar-SA"/>
        </w:rPr>
        <w:t>653223</w:t>
      </w:r>
      <w:bookmarkEnd w:id="4"/>
      <w:r>
        <w:rPr>
          <w:rFonts w:hint="eastAsia" w:ascii="Times New Roman" w:eastAsia="仿宋_GB2312" w:cs="Times New Roman"/>
          <w:b w:val="0"/>
          <w:bCs/>
          <w:color w:val="000000"/>
          <w:kern w:val="2"/>
          <w:sz w:val="32"/>
          <w:szCs w:val="32"/>
          <w:u w:val="single"/>
          <w:lang w:val="en-US" w:eastAsia="zh-CN" w:bidi="ar-SA"/>
        </w:rPr>
        <w:t xml:space="preserve">************ </w:t>
      </w:r>
      <w:r>
        <w:rPr>
          <w:rFonts w:hint="default" w:ascii="Times New Roman" w:hAnsi="Times New Roman" w:eastAsia="仿宋_GB2312" w:cs="Times New Roman"/>
          <w:b w:val="0"/>
          <w:bCs/>
          <w:color w:val="000000"/>
          <w:kern w:val="2"/>
          <w:sz w:val="32"/>
          <w:szCs w:val="32"/>
          <w:u w:val="single"/>
          <w:lang w:val="en-US" w:eastAsia="zh-CN" w:bidi="ar-SA"/>
        </w:rPr>
        <w:t xml:space="preserve">         </w:t>
      </w:r>
      <w:r>
        <w:rPr>
          <w:rFonts w:hint="eastAsia" w:ascii="Times New Roman" w:eastAsia="仿宋_GB2312" w:cs="Times New Roman"/>
          <w:b w:val="0"/>
          <w:bCs/>
          <w:color w:val="000000"/>
          <w:kern w:val="2"/>
          <w:sz w:val="32"/>
          <w:szCs w:val="32"/>
          <w:u w:val="single"/>
          <w:lang w:val="en-US" w:eastAsia="zh-CN" w:bidi="ar-SA"/>
        </w:rPr>
        <w:t xml:space="preserve">       </w:t>
      </w:r>
      <w:r>
        <w:rPr>
          <w:rFonts w:hint="default" w:ascii="Times New Roman" w:hAnsi="Times New Roman" w:eastAsia="仿宋_GB2312" w:cs="Times New Roman"/>
          <w:b w:val="0"/>
          <w:bCs/>
          <w:color w:val="000000"/>
          <w:kern w:val="2"/>
          <w:sz w:val="32"/>
          <w:szCs w:val="32"/>
          <w:u w:val="single"/>
          <w:lang w:val="en-US" w:eastAsia="zh-CN" w:bidi="ar-SA"/>
        </w:rPr>
        <w:t xml:space="preserve">        </w:t>
      </w:r>
    </w:p>
    <w:p w14:paraId="3BEDCD60">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住  所：</w:t>
      </w:r>
      <w:r>
        <w:rPr>
          <w:rFonts w:hint="default" w:ascii="Times New Roman" w:hAnsi="Times New Roman" w:eastAsia="仿宋_GB2312" w:cs="Times New Roman"/>
          <w:b w:val="0"/>
          <w:bCs/>
          <w:color w:val="000000"/>
          <w:kern w:val="2"/>
          <w:sz w:val="32"/>
          <w:szCs w:val="32"/>
          <w:u w:val="single"/>
          <w:lang w:val="en-US" w:eastAsia="zh-CN" w:bidi="ar-SA"/>
        </w:rPr>
        <w:t>新疆昆玉市224团和泰新村15号楼2单元301室</w:t>
      </w:r>
      <w:r>
        <w:rPr>
          <w:rFonts w:hint="eastAsia" w:ascii="Times New Roman" w:eastAsia="仿宋_GB2312" w:cs="Times New Roman"/>
          <w:b w:val="0"/>
          <w:bCs/>
          <w:color w:val="000000"/>
          <w:kern w:val="2"/>
          <w:sz w:val="32"/>
          <w:szCs w:val="32"/>
          <w:u w:val="single"/>
          <w:lang w:val="en-US" w:eastAsia="zh-CN" w:bidi="ar-SA"/>
        </w:rPr>
        <w:t xml:space="preserve">       </w:t>
      </w:r>
      <w:r>
        <w:rPr>
          <w:rFonts w:hint="default" w:ascii="Times New Roman" w:hAnsi="Times New Roman" w:eastAsia="仿宋_GB2312" w:cs="Times New Roman"/>
          <w:b w:val="0"/>
          <w:bCs/>
          <w:color w:val="000000"/>
          <w:kern w:val="2"/>
          <w:sz w:val="32"/>
          <w:szCs w:val="32"/>
          <w:u w:val="single"/>
          <w:lang w:val="en-US" w:eastAsia="zh-CN" w:bidi="ar-SA"/>
        </w:rPr>
        <w:t xml:space="preserve"> </w:t>
      </w:r>
    </w:p>
    <w:p w14:paraId="76657A70">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2026年2月10日，我局接到群众投诉举报1起，反映当事人于2026年1月22日在224团7连销售的牛肉有问题，要求核查牛肉来源，排查是否为病死、来历不明的肉类。</w:t>
      </w:r>
    </w:p>
    <w:p w14:paraId="1235159F">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2026年2月12日，我局执法人员依法开展核查工作。经查，当事人疑似销售死因不明牛肉，我局于2026年2月14日将该案线索及相关证据材料依法移送第十四师公安局。</w:t>
      </w:r>
    </w:p>
    <w:p w14:paraId="48A7BADC">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left"/>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2026年5月6日，第十四师公安局出具线索复函，函中载明涉案牛因被成年公牛撞伤后宰杀，不属于《最高人民法院、最高人民检察院关于办理危害食品安全刑事案件适用法律若干问题的解释》第一条第二项的规定，不符合《中华人民共和国刑法》第一百四十三条之规定的生产、销售不符合安全标准的食品罪立案条件。</w:t>
      </w:r>
    </w:p>
    <w:p w14:paraId="0618C395">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left"/>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2026年5月13日，我局对当事人经营场所现场检查，当事人自述涉案牛肉已于宰杀当日全部销售完毕，该批牛肉未依法开展动物检疫，也未进行肉品品质检验。</w:t>
      </w:r>
    </w:p>
    <w:p w14:paraId="785121FB">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为进一步查明事实，我局于2026年5月18日立案调查。</w:t>
      </w:r>
    </w:p>
    <w:p w14:paraId="0AD353B2">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2026年5月13日，我局执法人员依法制作现场笔录1份。2026年6月2日，我局执法人员依法对当事人哈吉阿卜杜拉·努尔麦麦提制作询问笔录1份。调查过程中，我局执法人员依照法定程序提取、复制、拍摄、制作了证据材料，并使用执法记录仪全程摄像记录。</w:t>
      </w:r>
    </w:p>
    <w:p w14:paraId="1D219372">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经查，当事人为昆玉市224团和泰新村居民，于2026年1月21日用现金向墨玉县喀尔赛镇农户罕萨</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・阿卜</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（身份证号为653222</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）收购1头受伤牛。经查，当事人购买的牛为被成年公牛撞击受伤的小牛，购进价格为2000元。</w:t>
      </w:r>
    </w:p>
    <w:p w14:paraId="02842681">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我局执法人员经调取监控发现，当事人于2026年1月22日12时52分在224团7连销售涉案牛肉（无固定摊位），当日14时32分全部销售完毕。当事人自述销售群体主要是224团7连及周边连队职工群众。</w:t>
      </w:r>
    </w:p>
    <w:p w14:paraId="3483434D">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当事人向我局执法人员提供微信支付交易明细1份（凭证编号：202606161950291871688576165905958，确定交易核查时段为2026年1月21日00:00:00至2026年1月22日23:59:59）。对照当事人上述微信支付交易明细发现，2026年1月22日12时52分至14时32分期间，当事人通过微信收款共计3084元，当事人对该笔款项予以确认，认可该金额为涉案牛肉全部销售收入。本案第十四师公安局移送材料中载明的涉案货值金额3080元，系当事人事前自行估算得出，与本局查实金额存在4元差异，整体可相互印证涉案货值事实。当事人提供的微信支付交易明细为原始交易凭证，记录数据真实、准确、有效，能够客观反映当事人实际销售回款情况，故本案涉案牛肉销售金额依法认定为3084元。因当事人购买的是被成年公牛撞击受伤的牛，不属于病死或者死因不明的牛，故购买牛的2000元符合《市场监督管理行政处罚案件违法所得认定办法》第四条规定的“合法必要支出”，故认定违法所得为1084元（3084元-2000元）。</w:t>
      </w:r>
    </w:p>
    <w:p w14:paraId="10004D31">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综上，当事人销售的涉案牛肉，从采购到全部销售完毕，既未依法开展动物检疫，也未进行肉品品质检验，故无法提供涉案牛肉动物检疫合格证明、肉品品质检验合格证明，属于经营未按规定检验检疫的牛肉的违法行为。</w:t>
      </w:r>
    </w:p>
    <w:p w14:paraId="1BF822CE">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上述事实，主要有以下证据证明：</w:t>
      </w:r>
    </w:p>
    <w:p w14:paraId="1EBCCC28">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1.2026年2月13日，我局执法人员依法提取当事人哈吉阿卜杜拉·努尔麦麦提的身份证复印件1份，证明当事人经营者的身份信息；</w:t>
      </w:r>
    </w:p>
    <w:p w14:paraId="3CEC52D8">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2.2026年5月13日，我局执法人员依法制作现场笔录1份，证明当事人现场经营情况及我局执法人员现场检查情况；</w:t>
      </w:r>
    </w:p>
    <w:p w14:paraId="51845066">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3.2026年2月13日，我局执法人员依法提取当事人销售收款记录照片2张，证明当事人销售涉案牛肉及确定涉案销售额的事实；</w:t>
      </w:r>
    </w:p>
    <w:p w14:paraId="126C6E89">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4.2026年2月13日，我局执法人员依法拍摄现场检查照片3张，证明我局执法人员现场执法检查的情况；</w:t>
      </w:r>
    </w:p>
    <w:p w14:paraId="2CA51A12">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5.2026年2月12日，我局执法人员依法制作询问笔录（艾合</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·阿卜</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）一份，证明当事人经营未按规定检验检疫的牛肉的事实；</w:t>
      </w:r>
    </w:p>
    <w:p w14:paraId="05CB6C37">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6.2026年6月2日，我局执法人员依法制作询问笔录（哈吉阿卜杜拉·努尔麦麦提）一份，证明当事人经营未按规定检验检疫的牛肉的事实；</w:t>
      </w:r>
    </w:p>
    <w:p w14:paraId="48354626">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7.2026年5月6日，第十四师公安局案件移送函1份、调查报告1份、销售方及当事人询问笔录各1份、相关人员询问笔录2份（张</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，身份证号：412823</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；米尔</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·奥</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，身份证号：653222</w:t>
      </w:r>
      <w:r>
        <w:rPr>
          <w:rFonts w:hint="eastAsia" w:ascii="Times New Roman" w:eastAsia="仿宋_GB2312" w:cs="Times New Roman"/>
          <w:b w:val="0"/>
          <w:bCs/>
          <w:color w:val="000000"/>
          <w:kern w:val="2"/>
          <w:sz w:val="32"/>
          <w:szCs w:val="32"/>
          <w:u w:val="none"/>
          <w:lang w:val="en-US" w:eastAsia="zh-CN" w:bidi="ar-SA"/>
        </w:rPr>
        <w:t>************</w:t>
      </w:r>
      <w:r>
        <w:rPr>
          <w:rFonts w:hint="default" w:ascii="Times New Roman" w:hAnsi="Times New Roman" w:eastAsia="仿宋_GB2312" w:cs="Times New Roman"/>
          <w:b w:val="0"/>
          <w:bCs/>
          <w:color w:val="000000"/>
          <w:kern w:val="2"/>
          <w:sz w:val="32"/>
          <w:szCs w:val="32"/>
          <w:u w:val="none"/>
          <w:lang w:val="en-US" w:eastAsia="zh-CN" w:bidi="ar-SA"/>
        </w:rPr>
        <w:t>），证明当事人采购涉案牛肉金额为2000元及经营未按规定检验检疫的牛肉的事实；</w:t>
      </w:r>
    </w:p>
    <w:p w14:paraId="36FC1325">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8.2026年2月24日，我局执法人员依法提取当事人提交的现场宰杀照片1份，证明当事人现场屠宰牛肉用于售卖的事实；</w:t>
      </w:r>
    </w:p>
    <w:p w14:paraId="0CCDC74A">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9.2026年2月13日，我局直达人员依法提取当事人2026年1月22日在224团7连销售牛肉监控视频4份，证明当事人销售牛肉的事实。</w:t>
      </w:r>
    </w:p>
    <w:p w14:paraId="04B39CE6">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以上证据材料均依照法定程序收集，均由我局执法人员提取、第十四师公安局移送或当事人提供，并由当事人签字、盖章确认，符合法定形式。</w:t>
      </w:r>
    </w:p>
    <w:p w14:paraId="62862997">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案件办理过程中，执法人员在现场检查、询问调查时均告知当事人依法享有陈述、申辩的权利，当事人未提出陈述、申辩。2026年7月30日，我局执法人员依法向当事人送达《新疆生产建设兵团第十四师市场监督管理局行政处罚告知书》（十四师市监罚告〔2026〕48号），告知当事人拟作出的行政处罚内容以及事实、理由、依据，并告知当事人依法享有的陈述、申辩的权利，当事人未在法定期限内提出陈述、申辩申请。</w:t>
      </w:r>
    </w:p>
    <w:p w14:paraId="383938C0">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本局认为，当事人销售未经检疫、未经肉品品质检验的牛肉的行为，违反了《中华人民共和国食品安全法》第三十四条第一款第八项“禁止生产经营下列食品、食品添加剂、食品相关产品：……（八）未按规定进行检疫或者检疫不合格的肉类，或者未经检验或者检验不合格的肉类制品；……”的规定，构成经营未按规定检验检疫的牛肉的违法行为。依据《中华人民共和国食品安全法》第一百二十三条第一款第四项“违反本法规定，有下列情形之一，尚不构成犯罪的，由县级以上人民政府食品安全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四）经营未按规定进行检疫或者检疫不合格的肉类，或者生产经营未经检验或者检验不合格的肉类制品；……”的规定，本机关应当责令当事人立即改正违法行为，没收违法所得，并处十万元以上十五万元以下罚款。</w:t>
      </w:r>
    </w:p>
    <w:p w14:paraId="1B85C177">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当事人未依法履行食品安全经营主体责任，经营依法应当检疫而未经检疫的牛肉，主观上存在明显过错。在案件调查过程中，当事人积极配合调查，如实陈述私自屠宰牛并销售的违法事实并提供相关证据材料。当事人货值金额较少，违法行为持续时间短，经营规模较小，销售范围仅限本地村落周边，未造成食品安全事故及不良社会影响。截至目前，未收到消费者因购买涉案牛肉产生人身损害的投诉举报。经查询《国家企业信用信息公示系统》，未查询到当事人被行政处罚的相关信息，属于初次违法。</w:t>
      </w:r>
    </w:p>
    <w:p w14:paraId="2C304D72">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综合当事人的违法事实、性质、情节和社会危害程度，基于公平公正、行政处罚与教育相结合、过罚相当、综合裁量、包容审慎的原则，依据《新疆维吾尔自治区 新疆生产建设兵团 市场监督管理行政处罚裁量权适用规定》第十八条第一款第八项“有下列情形之一的，应当减轻行政处罚：……（八）当事人有两项以上从轻行政处罚情节的；……。”及第十九条第一款第七项、第十项“有下列情形之一的，应当从轻行政处罚：……（七）积极配合市场监管部门调查并主动提供证据材料……（十）涉案货值金额、违法经营额或者违法所得较少的；……”的规定，本机关决定对当事人经营未按规定检验检疫的牛肉的违法行为给予减轻行政处罚裁量，并处罚款3084元。</w:t>
      </w:r>
    </w:p>
    <w:p w14:paraId="20592E28">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综上，当事人的上述行为，违反了《中华人民共和国食品安全法》第三十四条第一款第八项的规定，依据《中华人民共和国食品安全法》第一百二十三条第一款第四项的规定，本机关现责令当事人立即改正违法行为，并决定处罚如下：</w:t>
      </w:r>
    </w:p>
    <w:p w14:paraId="62F09144">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没收违法所得1084元，并处罚款3084元，罚没款合计4168元（肆仟壹佰陆拾捌元整）。</w:t>
      </w:r>
    </w:p>
    <w:p w14:paraId="73E4E09C">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局将每日按罚款数额的百分之三加处罚款，并依法申请人民法院强制执行。</w:t>
      </w:r>
    </w:p>
    <w:p w14:paraId="34F29A01">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60" w:lineRule="exact"/>
        <w:ind w:firstLine="640" w:firstLineChars="200"/>
        <w:jc w:val="both"/>
        <w:textAlignment w:val="auto"/>
        <w:rPr>
          <w:rFonts w:hint="default" w:ascii="Times New Roman" w:hAnsi="Times New Roman" w:eastAsia="仿宋_GB2312" w:cs="Times New Roman"/>
          <w:b w:val="0"/>
          <w:bCs/>
          <w:color w:val="auto"/>
          <w:kern w:val="2"/>
          <w:sz w:val="32"/>
          <w:szCs w:val="32"/>
          <w:u w:val="none"/>
          <w:lang w:val="en-US" w:eastAsia="zh-CN" w:bidi="ar-SA"/>
        </w:rPr>
      </w:pPr>
      <w:r>
        <w:rPr>
          <w:rFonts w:hint="default" w:ascii="Times New Roman" w:hAnsi="Times New Roman" w:eastAsia="仿宋_GB2312" w:cs="Times New Roman"/>
          <w:b w:val="0"/>
          <w:bCs/>
          <w:color w:val="000000"/>
          <w:kern w:val="2"/>
          <w:sz w:val="32"/>
          <w:szCs w:val="32"/>
          <w:u w:val="none"/>
          <w:lang w:val="en-US" w:eastAsia="zh-CN" w:bidi="ar-SA"/>
        </w:rPr>
        <w:t>如当事人不服本行政处罚决定，可在收到本决定书之日起六十日内向第十四师申请行政复议，也可以在六个月内依法向新疆生产建设兵团和田垦区人民法院提起行政诉讼。复议和诉讼期间，行政处罚不停止执行。</w:t>
      </w:r>
    </w:p>
    <w:p w14:paraId="283E430C">
      <w:pPr>
        <w:pStyle w:val="3"/>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jc w:val="both"/>
        <w:textAlignment w:val="auto"/>
        <w:rPr>
          <w:rFonts w:hint="default" w:ascii="Times New Roman" w:hAnsi="Times New Roman" w:eastAsia="仿宋_GB2312" w:cs="Times New Roman"/>
          <w:b w:val="0"/>
          <w:bCs/>
          <w:color w:val="auto"/>
          <w:u w:val="single"/>
          <w:lang w:val="en-US" w:eastAsia="zh-CN"/>
        </w:rPr>
      </w:pPr>
    </w:p>
    <w:p w14:paraId="58BDB156">
      <w:pPr>
        <w:widowControl/>
        <w:snapToGrid w:val="0"/>
        <w:spacing w:line="520" w:lineRule="exact"/>
        <w:jc w:val="both"/>
        <w:rPr>
          <w:rFonts w:hint="default" w:ascii="Times New Roman" w:hAnsi="Times New Roman" w:eastAsia="仿宋_GB2312" w:cs="Times New Roman"/>
          <w:color w:val="auto"/>
          <w:sz w:val="32"/>
          <w:szCs w:val="32"/>
        </w:rPr>
      </w:pPr>
    </w:p>
    <w:p w14:paraId="346AAC9E">
      <w:pPr>
        <w:widowControl/>
        <w:snapToGrid w:val="0"/>
        <w:spacing w:line="520" w:lineRule="exact"/>
        <w:ind w:firstLine="6240" w:firstLineChars="1950"/>
        <w:jc w:val="both"/>
        <w:rPr>
          <w:rFonts w:hint="default" w:ascii="Times New Roman" w:hAnsi="Times New Roman" w:eastAsia="仿宋_GB2312" w:cs="Times New Roman"/>
          <w:color w:val="auto"/>
          <w:sz w:val="32"/>
          <w:szCs w:val="32"/>
          <w:lang w:val="en-US" w:eastAsia="zh-Hans"/>
        </w:rPr>
      </w:pPr>
    </w:p>
    <w:p w14:paraId="39D24677">
      <w:pPr>
        <w:spacing w:line="560" w:lineRule="exact"/>
        <w:ind w:right="640" w:firstLine="1600" w:firstLineChars="500"/>
        <w:jc w:val="both"/>
        <w:rPr>
          <w:rFonts w:hint="default" w:ascii="Times New Roman" w:hAnsi="Times New Roman" w:eastAsia="仿宋_GB2312" w:cs="Times New Roman"/>
          <w:color w:val="auto"/>
          <w:sz w:val="32"/>
          <w:szCs w:val="32"/>
        </w:rPr>
      </w:pPr>
      <w:bookmarkStart w:id="5" w:name="DYNAMIC—DWXX—tAj_dwmc—2"/>
      <w:r>
        <w:rPr>
          <w:rFonts w:hint="default" w:ascii="Times New Roman" w:hAnsi="Times New Roman" w:eastAsia="仿宋_GB2312" w:cs="Times New Roman"/>
          <w:color w:val="000000"/>
          <w:sz w:val="32"/>
          <w:u w:val="none"/>
        </w:rPr>
        <w:t>新疆生产建设兵团第十四师市场监督管理局</w:t>
      </w:r>
      <w:bookmarkEnd w:id="5"/>
    </w:p>
    <w:p w14:paraId="3882A2E1">
      <w:pPr>
        <w:keepNext w:val="0"/>
        <w:keepLines w:val="0"/>
        <w:pageBreakBefore w:val="0"/>
        <w:widowControl w:val="0"/>
        <w:kinsoku/>
        <w:wordWrap/>
        <w:overflowPunct/>
        <w:topLinePunct w:val="0"/>
        <w:autoSpaceDE/>
        <w:autoSpaceDN/>
        <w:bidi w:val="0"/>
        <w:adjustRightInd/>
        <w:snapToGrid/>
        <w:spacing w:line="560" w:lineRule="exact"/>
        <w:ind w:right="630" w:rightChars="300" w:firstLine="3200" w:firstLineChars="1000"/>
        <w:jc w:val="both"/>
        <w:textAlignment w:val="auto"/>
        <w:outlineLvl w:val="9"/>
        <w:rPr>
          <w:rFonts w:hint="default" w:ascii="Times New Roman" w:hAnsi="Times New Roman" w:eastAsia="仿宋_GB2312" w:cs="Times New Roman"/>
          <w:color w:val="auto"/>
          <w:sz w:val="32"/>
          <w:szCs w:val="32"/>
        </w:rPr>
      </w:pPr>
      <w:bookmarkStart w:id="6" w:name="CALCULATE—TIME—NOW"/>
      <w:r>
        <w:rPr>
          <w:rFonts w:ascii="仿宋_GB2312" w:hAnsi="仿宋_GB2312" w:eastAsia="仿宋_GB2312" w:cs="仿宋_GB2312"/>
          <w:sz w:val="32"/>
        </w:rPr>
        <w:t>2026年8月</w:t>
      </w:r>
      <w:bookmarkStart w:id="7" w:name="_GoBack"/>
      <w:bookmarkEnd w:id="7"/>
      <w:r>
        <w:rPr>
          <w:rFonts w:hint="eastAsia" w:ascii="仿宋_GB2312" w:hAnsi="仿宋_GB2312" w:eastAsia="仿宋_GB2312" w:cs="仿宋_GB2312"/>
          <w:sz w:val="32"/>
          <w:lang w:val="en-US" w:eastAsia="zh-CN"/>
        </w:rPr>
        <w:t>8</w:t>
      </w:r>
      <w:r>
        <w:rPr>
          <w:rFonts w:ascii="仿宋_GB2312" w:hAnsi="仿宋_GB2312" w:eastAsia="仿宋_GB2312" w:cs="仿宋_GB2312"/>
          <w:sz w:val="32"/>
        </w:rPr>
        <w:t>日</w:t>
      </w:r>
      <w:bookmarkEnd w:id="6"/>
      <w:r>
        <w:rPr>
          <w:rFonts w:hint="default" w:ascii="Times New Roman" w:hAnsi="Times New Roman" w:eastAsia="仿宋_GB2312" w:cs="Times New Roman"/>
          <w:color w:val="000000"/>
          <w:sz w:val="32"/>
          <w:szCs w:val="32"/>
          <w:u w:val="none"/>
        </w:rPr>
        <w:t xml:space="preserve">  </w:t>
      </w:r>
    </w:p>
    <w:p w14:paraId="45C71209">
      <w:pPr>
        <w:widowControl/>
        <w:snapToGrid w:val="0"/>
        <w:spacing w:line="520" w:lineRule="exact"/>
        <w:jc w:val="both"/>
        <w:rPr>
          <w:rFonts w:hint="default" w:ascii="Times New Roman" w:hAnsi="Times New Roman" w:eastAsia="仿宋_GB2312" w:cs="Times New Roman"/>
          <w:color w:val="auto"/>
          <w:sz w:val="32"/>
          <w:szCs w:val="32"/>
        </w:rPr>
      </w:pPr>
    </w:p>
    <w:p w14:paraId="629CFBB1">
      <w:pPr>
        <w:widowControl/>
        <w:snapToGrid w:val="0"/>
        <w:spacing w:line="520" w:lineRule="exact"/>
        <w:jc w:val="both"/>
        <w:rPr>
          <w:rFonts w:hint="default" w:ascii="Times New Roman" w:hAnsi="Times New Roman" w:eastAsia="仿宋_GB2312" w:cs="Times New Roman"/>
          <w:color w:val="auto"/>
          <w:sz w:val="32"/>
          <w:szCs w:val="32"/>
        </w:rPr>
      </w:pPr>
    </w:p>
    <w:p w14:paraId="1C67B567">
      <w:pPr>
        <w:widowControl/>
        <w:snapToGrid w:val="0"/>
        <w:spacing w:line="520" w:lineRule="exact"/>
        <w:jc w:val="both"/>
        <w:rPr>
          <w:rFonts w:hint="default" w:ascii="Times New Roman" w:hAnsi="Times New Roman" w:eastAsia="仿宋_GB2312" w:cs="Times New Roman"/>
          <w:color w:val="auto"/>
          <w:sz w:val="32"/>
          <w:szCs w:val="32"/>
        </w:rPr>
      </w:pPr>
    </w:p>
    <w:p w14:paraId="12FF3F11">
      <w:pPr>
        <w:widowControl/>
        <w:snapToGrid w:val="0"/>
        <w:spacing w:line="520" w:lineRule="exact"/>
        <w:jc w:val="both"/>
        <w:rPr>
          <w:rFonts w:hint="default" w:ascii="Times New Roman" w:hAnsi="Times New Roman" w:eastAsia="仿宋_GB2312" w:cs="Times New Roman"/>
          <w:color w:val="auto"/>
          <w:sz w:val="32"/>
          <w:szCs w:val="32"/>
        </w:rPr>
      </w:pPr>
    </w:p>
    <w:p w14:paraId="0963D446">
      <w:pPr>
        <w:widowControl/>
        <w:snapToGrid w:val="0"/>
        <w:spacing w:line="520" w:lineRule="exact"/>
        <w:jc w:val="both"/>
        <w:rPr>
          <w:rFonts w:hint="default" w:ascii="Times New Roman" w:hAnsi="Times New Roman" w:eastAsia="仿宋_GB2312" w:cs="Times New Roman"/>
          <w:color w:val="auto"/>
          <w:sz w:val="32"/>
          <w:szCs w:val="32"/>
        </w:rPr>
      </w:pPr>
    </w:p>
    <w:p w14:paraId="60C2F266">
      <w:pPr>
        <w:widowControl/>
        <w:snapToGrid w:val="0"/>
        <w:spacing w:line="520" w:lineRule="exact"/>
        <w:jc w:val="both"/>
        <w:rPr>
          <w:rFonts w:hint="default" w:ascii="Times New Roman" w:hAnsi="Times New Roman" w:eastAsia="仿宋_GB2312" w:cs="Times New Roman"/>
          <w:color w:val="auto"/>
          <w:sz w:val="32"/>
          <w:szCs w:val="32"/>
        </w:rPr>
      </w:pPr>
    </w:p>
    <w:p w14:paraId="51B835CC">
      <w:pPr>
        <w:widowControl/>
        <w:snapToGrid w:val="0"/>
        <w:spacing w:line="520" w:lineRule="exact"/>
        <w:jc w:val="both"/>
        <w:rPr>
          <w:rFonts w:hint="default" w:ascii="Times New Roman" w:hAnsi="Times New Roman" w:eastAsia="仿宋_GB2312" w:cs="Times New Roman"/>
          <w:color w:val="auto"/>
          <w:sz w:val="32"/>
          <w:szCs w:val="32"/>
        </w:rPr>
      </w:pPr>
    </w:p>
    <w:p w14:paraId="635EDC5E">
      <w:pPr>
        <w:spacing w:line="500" w:lineRule="exact"/>
        <w:jc w:val="both"/>
        <w:rPr>
          <w:rFonts w:hint="default" w:ascii="Times New Roman" w:hAnsi="Times New Roman" w:cs="Times New Roman"/>
          <w:color w:val="auto"/>
        </w:rPr>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angal">
    <w:altName w:val="Segoe Print"/>
    <w:panose1 w:val="000004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F07F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C4377A">
                          <w:pPr>
                            <w:pStyle w:val="4"/>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C4377A">
                    <w:pPr>
                      <w:pStyle w:val="4"/>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yM2U5YzI2ZWYzNzA3YjY5MWY2NDE1MjMyNWZjOTUifQ=="/>
    <w:docVar w:name="KSO_WPS_MARK_KEY" w:val="3a570657-d4b9-4633-8bde-b1be1a221b99"/>
  </w:docVars>
  <w:rsids>
    <w:rsidRoot w:val="5BA419F7"/>
    <w:rsid w:val="00193C35"/>
    <w:rsid w:val="0032134F"/>
    <w:rsid w:val="010A478A"/>
    <w:rsid w:val="019E27D6"/>
    <w:rsid w:val="02B83402"/>
    <w:rsid w:val="042774DD"/>
    <w:rsid w:val="048D2705"/>
    <w:rsid w:val="04CD463F"/>
    <w:rsid w:val="04FA4431"/>
    <w:rsid w:val="05C51508"/>
    <w:rsid w:val="06476E0A"/>
    <w:rsid w:val="06BAE61F"/>
    <w:rsid w:val="071C7669"/>
    <w:rsid w:val="07580619"/>
    <w:rsid w:val="0776795A"/>
    <w:rsid w:val="07DA78EE"/>
    <w:rsid w:val="08365B64"/>
    <w:rsid w:val="087864F3"/>
    <w:rsid w:val="090B4D3A"/>
    <w:rsid w:val="09290BEC"/>
    <w:rsid w:val="09AA7B69"/>
    <w:rsid w:val="0A2F38BD"/>
    <w:rsid w:val="0A3665F0"/>
    <w:rsid w:val="0B22091D"/>
    <w:rsid w:val="0CF71776"/>
    <w:rsid w:val="0D242541"/>
    <w:rsid w:val="0FB748D6"/>
    <w:rsid w:val="103E22C5"/>
    <w:rsid w:val="11524677"/>
    <w:rsid w:val="115320F9"/>
    <w:rsid w:val="119E3BCA"/>
    <w:rsid w:val="1350279A"/>
    <w:rsid w:val="14203063"/>
    <w:rsid w:val="143E1E38"/>
    <w:rsid w:val="1490670C"/>
    <w:rsid w:val="152E563E"/>
    <w:rsid w:val="15B93156"/>
    <w:rsid w:val="16D23D7F"/>
    <w:rsid w:val="18325353"/>
    <w:rsid w:val="188449CB"/>
    <w:rsid w:val="18B229B2"/>
    <w:rsid w:val="19FE4517"/>
    <w:rsid w:val="1A485944"/>
    <w:rsid w:val="1AE345F4"/>
    <w:rsid w:val="1B37398D"/>
    <w:rsid w:val="1C7339BB"/>
    <w:rsid w:val="1C7A5BA8"/>
    <w:rsid w:val="1E664711"/>
    <w:rsid w:val="1EC222D9"/>
    <w:rsid w:val="1F2B5D07"/>
    <w:rsid w:val="1FC004DE"/>
    <w:rsid w:val="1FD31F15"/>
    <w:rsid w:val="204F03EB"/>
    <w:rsid w:val="212E3259"/>
    <w:rsid w:val="22287087"/>
    <w:rsid w:val="237778B4"/>
    <w:rsid w:val="23F5677C"/>
    <w:rsid w:val="24626694"/>
    <w:rsid w:val="258D6CE0"/>
    <w:rsid w:val="271433BD"/>
    <w:rsid w:val="27A45517"/>
    <w:rsid w:val="2B1B3EFC"/>
    <w:rsid w:val="2CEA3815"/>
    <w:rsid w:val="2DE10173"/>
    <w:rsid w:val="2F327E79"/>
    <w:rsid w:val="2F7CE1EF"/>
    <w:rsid w:val="2F8A6913"/>
    <w:rsid w:val="2F94132A"/>
    <w:rsid w:val="30DB5683"/>
    <w:rsid w:val="30FA2F6D"/>
    <w:rsid w:val="31562B39"/>
    <w:rsid w:val="31BE0AF5"/>
    <w:rsid w:val="32CE76E8"/>
    <w:rsid w:val="3334290F"/>
    <w:rsid w:val="33740640"/>
    <w:rsid w:val="3585615B"/>
    <w:rsid w:val="363C12E3"/>
    <w:rsid w:val="368E5656"/>
    <w:rsid w:val="377FBB27"/>
    <w:rsid w:val="37F16547"/>
    <w:rsid w:val="38B63DA7"/>
    <w:rsid w:val="3930619F"/>
    <w:rsid w:val="3A4E178D"/>
    <w:rsid w:val="3BF97ECA"/>
    <w:rsid w:val="3C2965F0"/>
    <w:rsid w:val="3D6B1177"/>
    <w:rsid w:val="3E5F4AE1"/>
    <w:rsid w:val="3E853745"/>
    <w:rsid w:val="3F2604DF"/>
    <w:rsid w:val="3F6783E4"/>
    <w:rsid w:val="3F842066"/>
    <w:rsid w:val="3FFF82D4"/>
    <w:rsid w:val="402E7C06"/>
    <w:rsid w:val="40FE5F8F"/>
    <w:rsid w:val="425049CE"/>
    <w:rsid w:val="43E75159"/>
    <w:rsid w:val="440B7AE6"/>
    <w:rsid w:val="442B16EC"/>
    <w:rsid w:val="458F64B9"/>
    <w:rsid w:val="45C51FFB"/>
    <w:rsid w:val="46157ACD"/>
    <w:rsid w:val="47243FC5"/>
    <w:rsid w:val="48C10000"/>
    <w:rsid w:val="4A555101"/>
    <w:rsid w:val="4ADF49AE"/>
    <w:rsid w:val="4B8F0B22"/>
    <w:rsid w:val="4C02380F"/>
    <w:rsid w:val="4C7C04B3"/>
    <w:rsid w:val="4CC8271B"/>
    <w:rsid w:val="4D9306AE"/>
    <w:rsid w:val="4E8950D9"/>
    <w:rsid w:val="4F722566"/>
    <w:rsid w:val="4F93378A"/>
    <w:rsid w:val="503F09B5"/>
    <w:rsid w:val="50923421"/>
    <w:rsid w:val="516D5500"/>
    <w:rsid w:val="52802336"/>
    <w:rsid w:val="53A0483E"/>
    <w:rsid w:val="547C0750"/>
    <w:rsid w:val="55FE5622"/>
    <w:rsid w:val="57503162"/>
    <w:rsid w:val="58A4140A"/>
    <w:rsid w:val="591F0542"/>
    <w:rsid w:val="59A10938"/>
    <w:rsid w:val="5AFB3A36"/>
    <w:rsid w:val="5BA419F7"/>
    <w:rsid w:val="5BEF1DBF"/>
    <w:rsid w:val="5BF91583"/>
    <w:rsid w:val="5BFB2E57"/>
    <w:rsid w:val="5C5D2BD9"/>
    <w:rsid w:val="5DD7483B"/>
    <w:rsid w:val="5E5FAB03"/>
    <w:rsid w:val="5E605C94"/>
    <w:rsid w:val="5EA00CBE"/>
    <w:rsid w:val="5F9FEDD5"/>
    <w:rsid w:val="5FBEF003"/>
    <w:rsid w:val="5FE33914"/>
    <w:rsid w:val="5FFA4D85"/>
    <w:rsid w:val="602422E6"/>
    <w:rsid w:val="60B635F2"/>
    <w:rsid w:val="60C16F3B"/>
    <w:rsid w:val="612E7E8C"/>
    <w:rsid w:val="617678F3"/>
    <w:rsid w:val="61DC2B1A"/>
    <w:rsid w:val="636955DE"/>
    <w:rsid w:val="646E5E05"/>
    <w:rsid w:val="64E43803"/>
    <w:rsid w:val="657F58CB"/>
    <w:rsid w:val="66934D57"/>
    <w:rsid w:val="6AD7030F"/>
    <w:rsid w:val="6BA277B7"/>
    <w:rsid w:val="6BCC1BB9"/>
    <w:rsid w:val="6C6723F1"/>
    <w:rsid w:val="6CA517CF"/>
    <w:rsid w:val="6D064CEC"/>
    <w:rsid w:val="6D6C7F13"/>
    <w:rsid w:val="6D923254"/>
    <w:rsid w:val="6DD2313B"/>
    <w:rsid w:val="6E04767D"/>
    <w:rsid w:val="6E355D52"/>
    <w:rsid w:val="6E6950E9"/>
    <w:rsid w:val="6ED952C0"/>
    <w:rsid w:val="6F013B3F"/>
    <w:rsid w:val="6F732ABB"/>
    <w:rsid w:val="6FF58B64"/>
    <w:rsid w:val="6FF8F863"/>
    <w:rsid w:val="70CF02CA"/>
    <w:rsid w:val="70F532B7"/>
    <w:rsid w:val="71013020"/>
    <w:rsid w:val="710D7C3E"/>
    <w:rsid w:val="71FC56E7"/>
    <w:rsid w:val="7376089F"/>
    <w:rsid w:val="74E06ABE"/>
    <w:rsid w:val="75B2DA43"/>
    <w:rsid w:val="75BD90DB"/>
    <w:rsid w:val="75CC41D0"/>
    <w:rsid w:val="75F8119D"/>
    <w:rsid w:val="76222141"/>
    <w:rsid w:val="76704CDE"/>
    <w:rsid w:val="76D869B3"/>
    <w:rsid w:val="76FD0A98"/>
    <w:rsid w:val="77DF8BD4"/>
    <w:rsid w:val="77EFD5CC"/>
    <w:rsid w:val="77FFADAC"/>
    <w:rsid w:val="7835649C"/>
    <w:rsid w:val="789620E4"/>
    <w:rsid w:val="78FD530C"/>
    <w:rsid w:val="7AFB4DD2"/>
    <w:rsid w:val="7B0F6E9A"/>
    <w:rsid w:val="7BA46A39"/>
    <w:rsid w:val="7BFD6076"/>
    <w:rsid w:val="7C8E43D6"/>
    <w:rsid w:val="7DA813EB"/>
    <w:rsid w:val="7DFF108F"/>
    <w:rsid w:val="7EED8AE6"/>
    <w:rsid w:val="7F5A6980"/>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4">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_Style 5"/>
    <w:basedOn w:val="1"/>
    <w:qFormat/>
    <w:uiPriority w:val="0"/>
    <w:pPr>
      <w:ind w:firstLine="200" w:firstLineChars="200"/>
    </w:pPr>
    <w:rPr>
      <w:sz w:val="24"/>
      <w:szCs w:val="22"/>
    </w:rPr>
  </w:style>
  <w:style w:type="paragraph" w:customStyle="1" w:styleId="10">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dab06d-edfd-487b-85b6-49d74b6d0b23}">
  <ds:schemaRefs/>
</ds:datastoreItem>
</file>

<file path=docProps/app.xml><?xml version="1.0" encoding="utf-8"?>
<Properties xmlns="http://schemas.openxmlformats.org/officeDocument/2006/extended-properties" xmlns:vt="http://schemas.openxmlformats.org/officeDocument/2006/docPropsVTypes">
  <Template>Normal.dotm</Template>
  <Pages>8</Pages>
  <Words>858</Words>
  <Characters>964</Characters>
  <Lines>0</Lines>
  <Paragraphs>0</Paragraphs>
  <TotalTime>43</TotalTime>
  <ScaleCrop>false</ScaleCrop>
  <LinksUpToDate>false</LinksUpToDate>
  <CharactersWithSpaces>1023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十四师政务网</cp:lastModifiedBy>
  <cp:lastPrinted>2026-08-12T03:05:00Z</cp:lastPrinted>
  <dcterms:modified xsi:type="dcterms:W3CDTF">2026-08-12T09:43:19Z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B6375E3DB5584F0395D7B3DA013A1E8E_13</vt:lpwstr>
  </property>
  <property fmtid="{D5CDD505-2E9C-101B-9397-08002B2CF9AE}" pid="4" name="KSOTemplateDocerSaveRecord">
    <vt:lpwstr>eyJoZGlkIjoiMzY3NTIyMWZiMTBhNGM3NzEwNmFiMGQxMzhiNWJlNTkiLCJ1c2VySWQiOiIxNjU2NTU0MjE4In0=</vt:lpwstr>
  </property>
</Properties>
</file>