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174C5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方正小标宋简体" w:hAnsi="方正小标宋简体" w:eastAsia="方正小标宋简体" w:cs="方正小标宋简体"/>
          <w:b w:val="0"/>
          <w:color w:val="000000"/>
          <w:sz w:val="44"/>
          <w:szCs w:val="44"/>
          <w:highlight w:val="none"/>
        </w:rPr>
      </w:pPr>
      <w:r>
        <w:rPr>
          <w:rFonts w:hint="eastAsia" w:ascii="方正小标宋简体" w:hAnsi="方正小标宋简体" w:eastAsia="方正小标宋简体" w:cs="方正小标宋简体"/>
          <w:b w:val="0"/>
          <w:color w:val="000000"/>
          <w:sz w:val="44"/>
          <w:szCs w:val="44"/>
          <w:highlight w:val="none"/>
          <w:lang w:eastAsia="zh-CN"/>
        </w:rPr>
        <w:t>昆玉市</w:t>
      </w:r>
      <w:r>
        <w:rPr>
          <w:rFonts w:hint="eastAsia" w:ascii="方正小标宋简体" w:hAnsi="方正小标宋简体" w:eastAsia="方正小标宋简体" w:cs="方正小标宋简体"/>
          <w:b w:val="0"/>
          <w:color w:val="000000"/>
          <w:sz w:val="44"/>
          <w:szCs w:val="44"/>
          <w:highlight w:val="none"/>
        </w:rPr>
        <w:t>烟草制品零售点合理布局</w:t>
      </w:r>
      <w:r>
        <w:rPr>
          <w:rFonts w:hint="default" w:ascii="方正小标宋简体" w:hAnsi="方正小标宋简体" w:eastAsia="方正小标宋简体" w:cs="方正小标宋简体"/>
          <w:b w:val="0"/>
          <w:color w:val="000000"/>
          <w:sz w:val="44"/>
          <w:szCs w:val="44"/>
          <w:highlight w:val="none"/>
        </w:rPr>
        <w:t>规划</w:t>
      </w:r>
    </w:p>
    <w:p w14:paraId="5FE9F93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color w:val="000000"/>
          <w:sz w:val="44"/>
          <w:szCs w:val="44"/>
          <w:highlight w:val="none"/>
          <w:lang w:eastAsia="zh-CN"/>
        </w:rPr>
      </w:pPr>
      <w:r>
        <w:rPr>
          <w:rFonts w:hint="eastAsia" w:ascii="方正小标宋简体" w:hAnsi="方正小标宋简体" w:eastAsia="方正小标宋简体" w:cs="方正小标宋简体"/>
          <w:b w:val="0"/>
          <w:color w:val="000000"/>
          <w:sz w:val="44"/>
          <w:szCs w:val="44"/>
          <w:highlight w:val="none"/>
          <w:lang w:eastAsia="zh-CN"/>
        </w:rPr>
        <w:t>（</w:t>
      </w:r>
      <w:r>
        <w:rPr>
          <w:rFonts w:hint="eastAsia" w:ascii="方正小标宋简体" w:hAnsi="方正小标宋简体" w:eastAsia="方正小标宋简体" w:cs="方正小标宋简体"/>
          <w:b w:val="0"/>
          <w:color w:val="000000"/>
          <w:sz w:val="44"/>
          <w:szCs w:val="44"/>
          <w:highlight w:val="none"/>
          <w:lang w:val="en-US" w:eastAsia="zh-CN"/>
        </w:rPr>
        <w:t>2026年-2031年</w:t>
      </w:r>
      <w:r>
        <w:rPr>
          <w:rFonts w:hint="eastAsia" w:ascii="方正小标宋简体" w:hAnsi="方正小标宋简体" w:eastAsia="方正小标宋简体" w:cs="方正小标宋简体"/>
          <w:b w:val="0"/>
          <w:color w:val="000000"/>
          <w:sz w:val="44"/>
          <w:szCs w:val="44"/>
          <w:highlight w:val="none"/>
          <w:lang w:eastAsia="zh-CN"/>
        </w:rPr>
        <w:t>）</w:t>
      </w:r>
    </w:p>
    <w:p w14:paraId="1F57E2B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b w:val="0"/>
          <w:color w:val="000000"/>
          <w:sz w:val="44"/>
          <w:szCs w:val="44"/>
          <w:highlight w:val="none"/>
          <w:lang w:val="en-US" w:eastAsia="zh-CN"/>
        </w:rPr>
      </w:pPr>
    </w:p>
    <w:p w14:paraId="19A30293">
      <w:pPr>
        <w:keepNext w:val="0"/>
        <w:keepLines w:val="0"/>
        <w:pageBreakBefore w:val="0"/>
        <w:numPr>
          <w:ilvl w:val="0"/>
          <w:numId w:val="0"/>
        </w:numPr>
        <w:tabs>
          <w:tab w:val="center" w:pos="4153"/>
          <w:tab w:val="left" w:pos="7820"/>
          <w:tab w:val="right" w:pos="8306"/>
        </w:tabs>
        <w:kinsoku/>
        <w:wordWrap/>
        <w:overflowPunct/>
        <w:topLinePunct w:val="0"/>
        <w:autoSpaceDE/>
        <w:autoSpaceDN/>
        <w:bidi w:val="0"/>
        <w:adjustRightInd/>
        <w:snapToGrid/>
        <w:spacing w:line="560" w:lineRule="exact"/>
        <w:jc w:val="center"/>
        <w:textAlignment w:val="auto"/>
        <w:rPr>
          <w:rFonts w:hint="default" w:ascii="黑体" w:hAnsi="黑体" w:eastAsia="黑体"/>
          <w:sz w:val="32"/>
          <w:szCs w:val="32"/>
        </w:rPr>
      </w:pPr>
      <w:r>
        <w:rPr>
          <w:rFonts w:hint="eastAsia" w:ascii="黑体" w:hAnsi="黑体" w:eastAsia="黑体" w:cs="Times New Roman"/>
          <w:kern w:val="2"/>
          <w:sz w:val="32"/>
          <w:szCs w:val="32"/>
          <w:lang w:val="en-US" w:eastAsia="zh-CN" w:bidi="ar-SA"/>
        </w:rPr>
        <w:t>第一章</w:t>
      </w:r>
      <w:r>
        <w:rPr>
          <w:rFonts w:hint="default" w:ascii="黑体" w:hAnsi="黑体" w:eastAsia="黑体"/>
          <w:sz w:val="32"/>
          <w:szCs w:val="32"/>
        </w:rPr>
        <w:t>总则 </w:t>
      </w:r>
    </w:p>
    <w:p w14:paraId="05841AA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微软雅黑" w:hAnsi="微软雅黑" w:eastAsia="微软雅黑" w:cs="微软雅黑"/>
          <w:b w:val="0"/>
          <w:bCs w:val="0"/>
          <w:i w:val="0"/>
          <w:iCs w:val="0"/>
          <w:caps w:val="0"/>
          <w:color w:val="auto"/>
          <w:spacing w:val="0"/>
          <w:sz w:val="32"/>
          <w:szCs w:val="32"/>
          <w:highlight w:val="none"/>
        </w:rPr>
      </w:pPr>
      <w:r>
        <w:rPr>
          <w:rFonts w:hint="default" w:ascii="黑体" w:hAnsi="黑体" w:eastAsia="黑体" w:cs="黑体"/>
          <w:b w:val="0"/>
          <w:color w:val="000000"/>
          <w:kern w:val="2"/>
          <w:sz w:val="32"/>
          <w:szCs w:val="24"/>
          <w:highlight w:val="none"/>
          <w:lang w:val="en-US" w:eastAsia="zh-CN" w:bidi="ar-SA"/>
        </w:rPr>
        <w:t>第一条</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 为加强烟草专卖零售许可证管理，优化辖区内烟草制品零售点布局，</w:t>
      </w:r>
      <w:r>
        <w:rPr>
          <w:rFonts w:hint="eastAsia" w:ascii="仿宋_GB2312" w:hAnsi="仿宋_GB2312" w:eastAsia="仿宋_GB2312" w:cs="仿宋_GB2312"/>
          <w:b w:val="0"/>
          <w:color w:val="auto"/>
          <w:sz w:val="32"/>
          <w:highlight w:val="none"/>
        </w:rPr>
        <w:t>规范烟草制品零售市场经营秩序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rPr>
        <w:t>。</w:t>
      </w:r>
      <w:r>
        <w:rPr>
          <w:rFonts w:hint="eastAsia" w:ascii="仿宋_GB2312" w:hAnsi="仿宋_GB2312" w:eastAsia="仿宋_GB2312" w:cs="仿宋_GB2312"/>
          <w:b w:val="0"/>
          <w:color w:val="auto"/>
          <w:sz w:val="32"/>
          <w:highlight w:val="none"/>
        </w:rPr>
        <w:t>根据《中华人民共和国烟草专卖法》《中华人民共和国行政许可法》《中华人民共和国未成年人保护法》《中华人民共和国烟草专卖法实施条例》《烟草专卖许可证管理办法》《烟草专卖许可证管理办法实施细则》等法律法规规章和规范性文件的规定，</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结合</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本</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辖区</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实际，制定本规划。</w:t>
      </w:r>
    </w:p>
    <w:p w14:paraId="00A6F7E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黑体"/>
          <w:b w:val="0"/>
          <w:color w:val="000000"/>
          <w:kern w:val="2"/>
          <w:sz w:val="32"/>
          <w:szCs w:val="24"/>
          <w:highlight w:val="none"/>
          <w:lang w:val="en-US" w:eastAsia="zh-CN" w:bidi="ar-SA"/>
        </w:rPr>
        <w:t>第二条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本规划适用于</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t>昆玉市</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行政区域内烟草制品零售点(以下简称零售点)的布局管理。电子烟零售点布局按照《新疆维吾尔自治区电子烟零售点布局规划》执行。</w:t>
      </w:r>
    </w:p>
    <w:p w14:paraId="71EF30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仿宋_GB2312" w:eastAsia="仿宋_GB2312" w:cs="仿宋_GB2312"/>
          <w:b w:val="0"/>
          <w:color w:val="auto"/>
          <w:sz w:val="32"/>
          <w:highlight w:val="none"/>
        </w:rPr>
      </w:pPr>
      <w:r>
        <w:rPr>
          <w:rFonts w:hint="default" w:ascii="黑体" w:hAnsi="黑体" w:eastAsia="黑体" w:cs="黑体"/>
          <w:b w:val="0"/>
          <w:color w:val="000000"/>
          <w:kern w:val="2"/>
          <w:sz w:val="32"/>
          <w:szCs w:val="24"/>
          <w:highlight w:val="none"/>
          <w:lang w:val="en-US" w:eastAsia="zh-CN" w:bidi="ar-SA"/>
        </w:rPr>
        <w:t>第三条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default" w:ascii="仿宋_GB2312" w:hAnsi="仿宋_GB2312" w:eastAsia="仿宋_GB2312" w:cs="仿宋_GB2312"/>
          <w:b w:val="0"/>
          <w:color w:val="auto"/>
          <w:sz w:val="32"/>
          <w:highlight w:val="none"/>
        </w:rPr>
        <w:t>本规划所称零售点是指公民、法人及其他组织依法申请取得烟草专卖零售许可证(以下简称许可证)从事烟草制品零售业务的经营场所。</w:t>
      </w:r>
    </w:p>
    <w:p w14:paraId="29C9A3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仿宋_GB2312" w:eastAsia="仿宋_GB2312" w:cs="仿宋_GB2312"/>
          <w:b w:val="0"/>
          <w:color w:val="auto"/>
          <w:sz w:val="32"/>
          <w:highlight w:val="none"/>
        </w:rPr>
      </w:pPr>
      <w:r>
        <w:rPr>
          <w:rFonts w:hint="default" w:ascii="黑体" w:hAnsi="黑体" w:eastAsia="黑体" w:cs="黑体"/>
          <w:b w:val="0"/>
          <w:color w:val="000000"/>
          <w:kern w:val="2"/>
          <w:sz w:val="32"/>
          <w:szCs w:val="24"/>
          <w:highlight w:val="none"/>
          <w:lang w:val="en-US" w:eastAsia="zh-CN" w:bidi="ar-SA"/>
        </w:rPr>
        <w:t>第四条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仿宋_GB2312" w:eastAsia="仿宋_GB2312" w:cs="仿宋_GB2312"/>
          <w:b w:val="0"/>
          <w:color w:val="auto"/>
          <w:sz w:val="32"/>
          <w:highlight w:val="none"/>
          <w:lang w:eastAsia="zh-CN"/>
        </w:rPr>
        <w:t>本</w:t>
      </w:r>
      <w:r>
        <w:rPr>
          <w:rFonts w:hint="eastAsia" w:ascii="仿宋_GB2312" w:hAnsi="仿宋_GB2312" w:eastAsia="仿宋_GB2312" w:cs="仿宋_GB2312"/>
          <w:b w:val="0"/>
          <w:color w:val="auto"/>
          <w:sz w:val="32"/>
          <w:highlight w:val="none"/>
          <w:lang w:val="en-US" w:eastAsia="zh-CN"/>
        </w:rPr>
        <w:t>辖区</w:t>
      </w:r>
      <w:r>
        <w:rPr>
          <w:rFonts w:hint="default" w:ascii="仿宋_GB2312" w:hAnsi="仿宋_GB2312" w:eastAsia="仿宋_GB2312" w:cs="仿宋_GB2312"/>
          <w:b w:val="0"/>
          <w:color w:val="auto"/>
          <w:sz w:val="32"/>
          <w:highlight w:val="none"/>
        </w:rPr>
        <w:t>零售点布局规划遵循依法行政、科学规划、服务社会、均衡发展的原则。</w:t>
      </w:r>
    </w:p>
    <w:p w14:paraId="71702B0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default" w:ascii="黑体" w:hAnsi="黑体" w:eastAsia="黑体" w:cs="黑体"/>
          <w:b w:val="0"/>
          <w:color w:val="000000"/>
          <w:kern w:val="2"/>
          <w:sz w:val="32"/>
          <w:szCs w:val="24"/>
          <w:highlight w:val="none"/>
          <w:lang w:val="en-US" w:eastAsia="zh-CN" w:bidi="ar-SA"/>
        </w:rPr>
        <w:t>第五条</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仿宋_GB2312" w:eastAsia="仿宋_GB2312" w:cs="仿宋_GB2312"/>
          <w:b w:val="0"/>
          <w:color w:val="auto"/>
          <w:kern w:val="0"/>
          <w:sz w:val="32"/>
          <w:szCs w:val="24"/>
          <w:highlight w:val="none"/>
          <w:lang w:val="en-US" w:eastAsia="zh-CN" w:bidi="ar"/>
        </w:rPr>
        <w:t>本合理布局规划施行以前，已合法持有烟草专卖零售许可证的零售户，在许可证有效期内不受本烟草制品零售点合理布局规划调整的影响。持证人办理延续申请，除经营场所的安全要求和中小学、幼儿园周围的限制性规定外，不受本烟草制品零售点合理布局规划其他规定调整的影响。</w:t>
      </w:r>
    </w:p>
    <w:p w14:paraId="3630D7A7">
      <w:pPr>
        <w:keepNext w:val="0"/>
        <w:keepLines w:val="0"/>
        <w:pageBreakBefore w:val="0"/>
        <w:tabs>
          <w:tab w:val="center" w:pos="4153"/>
          <w:tab w:val="left" w:pos="7820"/>
          <w:tab w:val="right" w:pos="8306"/>
        </w:tabs>
        <w:kinsoku/>
        <w:wordWrap/>
        <w:overflowPunct/>
        <w:topLinePunct w:val="0"/>
        <w:autoSpaceDE/>
        <w:autoSpaceDN/>
        <w:bidi w:val="0"/>
        <w:adjustRightInd/>
        <w:snapToGrid/>
        <w:spacing w:line="560" w:lineRule="exact"/>
        <w:jc w:val="center"/>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第二章 设定规则</w:t>
      </w:r>
    </w:p>
    <w:p w14:paraId="7CDAEC21">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eastAsia="zh-CN" w:bidi="ar-SA"/>
        </w:rPr>
      </w:pPr>
      <w:r>
        <w:rPr>
          <w:rFonts w:hint="eastAsia" w:ascii="黑体" w:hAnsi="黑体" w:eastAsia="黑体"/>
          <w:sz w:val="32"/>
          <w:szCs w:val="32"/>
          <w:lang w:val="en-US" w:eastAsia="zh-CN"/>
        </w:rPr>
        <w:t xml:space="preserve">第六条 </w:t>
      </w:r>
      <w:r>
        <w:rPr>
          <w:rFonts w:hint="eastAsia" w:ascii="仿宋_GB2312" w:hAnsi="仿宋_GB2312" w:eastAsia="仿宋_GB2312" w:cs="仿宋_GB2312"/>
          <w:b w:val="0"/>
          <w:color w:val="auto"/>
          <w:kern w:val="0"/>
          <w:sz w:val="32"/>
          <w:szCs w:val="24"/>
          <w:highlight w:val="none"/>
          <w:lang w:val="en-US" w:eastAsia="zh-CN" w:bidi="ar"/>
        </w:rPr>
        <w:t>为了合理满足消费需求、防止无序过度竞争、落实控烟履约要求。</w:t>
      </w:r>
      <w:r>
        <w:rPr>
          <w:rFonts w:hint="eastAsia" w:ascii="仿宋_GB2312" w:hAnsi="仿宋_GB2312" w:eastAsia="仿宋_GB2312" w:cs="仿宋_GB2312"/>
          <w:b w:val="0"/>
          <w:color w:val="auto"/>
          <w:sz w:val="32"/>
          <w:highlight w:val="none"/>
          <w:lang w:val="en-US" w:eastAsia="zh-CN"/>
        </w:rPr>
        <w:t>结合昆玉市实际，以较为稳定、相对独立的市场区域为单元，将辖区划分为社区、连队（行政村）、特殊区域市场单元。</w:t>
      </w:r>
      <w:r>
        <w:rPr>
          <w:rFonts w:hint="eastAsia" w:ascii="仿宋_GB2312" w:hAnsi="仿宋_GB2312" w:eastAsia="仿宋_GB2312" w:cs="仿宋_GB2312"/>
          <w:b w:val="0"/>
          <w:color w:val="auto"/>
          <w:kern w:val="0"/>
          <w:sz w:val="32"/>
          <w:szCs w:val="24"/>
          <w:highlight w:val="none"/>
          <w:lang w:val="en-US" w:eastAsia="zh-CN" w:bidi="ar"/>
        </w:rPr>
        <w:t>市场单元为最终合理布局规划实</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施单元</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并根据当地政府文件以及市场变化动态调整。</w:t>
      </w:r>
    </w:p>
    <w:p w14:paraId="4CFF834E">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color w:val="000000"/>
          <w:sz w:val="32"/>
          <w:highlight w:val="none"/>
          <w:lang w:val="en-US" w:eastAsia="zh-CN"/>
        </w:rPr>
      </w:pPr>
      <w:r>
        <w:rPr>
          <w:rFonts w:hint="eastAsia" w:ascii="黑体" w:hAnsi="黑体" w:eastAsia="黑体" w:cs="黑体"/>
          <w:b w:val="0"/>
          <w:color w:val="000000"/>
          <w:kern w:val="2"/>
          <w:sz w:val="32"/>
          <w:szCs w:val="24"/>
          <w:highlight w:val="none"/>
          <w:lang w:val="en-US" w:eastAsia="zh-CN" w:bidi="ar-SA"/>
        </w:rPr>
        <w:t>第七条</w:t>
      </w:r>
      <w:r>
        <w:rPr>
          <w:rFonts w:hint="eastAsia" w:ascii="仿宋_GB2312" w:hAnsi="仿宋_GB2312" w:eastAsia="仿宋_GB2312" w:cs="仿宋_GB2312"/>
          <w:b w:val="0"/>
          <w:bCs w:val="0"/>
          <w:color w:val="auto"/>
          <w:kern w:val="2"/>
          <w:sz w:val="32"/>
          <w:szCs w:val="32"/>
          <w:highlight w:val="none"/>
          <w:lang w:val="en-US" w:eastAsia="zh-CN" w:bidi="ar-SA"/>
        </w:rPr>
        <w:t xml:space="preserve"> </w:t>
      </w:r>
      <w:r>
        <w:rPr>
          <w:rFonts w:hint="eastAsia" w:ascii="黑体" w:hAnsi="黑体" w:eastAsia="黑体" w:cs="黑体"/>
          <w:b w:val="0"/>
          <w:color w:val="000000"/>
          <w:sz w:val="32"/>
          <w:highlight w:val="none"/>
          <w:lang w:val="en-US" w:eastAsia="zh-CN"/>
        </w:rPr>
        <w:t>市场单元划分</w:t>
      </w:r>
    </w:p>
    <w:p w14:paraId="3A96368C">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方正楷体_GBK" w:hAnsi="方正楷体_GBK" w:eastAsia="方正楷体_GBK" w:cs="方正楷体_GBK"/>
          <w:b w:val="0"/>
          <w:bCs w:val="0"/>
          <w:color w:val="000000"/>
          <w:sz w:val="32"/>
          <w:szCs w:val="32"/>
          <w:highlight w:val="none"/>
          <w:lang w:val="en-US" w:eastAsia="zh-CN"/>
        </w:rPr>
        <w:t>（一）社区市场单元</w:t>
      </w:r>
      <w:r>
        <w:rPr>
          <w:rFonts w:hint="default" w:ascii="方正楷体_GBK" w:hAnsi="方正楷体_GBK" w:eastAsia="方正楷体_GBK" w:cs="方正楷体_GBK"/>
          <w:b w:val="0"/>
          <w:bCs w:val="0"/>
          <w:color w:val="000000"/>
          <w:sz w:val="32"/>
          <w:szCs w:val="32"/>
          <w:highlight w:val="none"/>
          <w:lang w:val="en-US" w:eastAsia="zh-CN"/>
        </w:rPr>
        <w:t>：</w:t>
      </w:r>
      <w:r>
        <w:rPr>
          <w:rFonts w:hint="eastAsia" w:ascii="仿宋_GB2312" w:hAnsi="仿宋_GB2312" w:eastAsia="仿宋_GB2312" w:cs="仿宋_GB2312"/>
          <w:b w:val="0"/>
          <w:color w:val="auto"/>
          <w:sz w:val="32"/>
          <w:highlight w:val="none"/>
          <w:lang w:val="en-US" w:eastAsia="zh-CN"/>
        </w:rPr>
        <w:t>社区市场单元指由团场（乡镇）及以上人民政府部门依据法定标准以居民委员会实际管辖区域为基础划定的区域。城乡结合部、团场（乡镇）政府驻地、连队（行政村）等区域，经属地街道办事处或乡镇人民政府认定属于社区服务管理体系的，纳入社区市场单元管理。</w:t>
      </w:r>
    </w:p>
    <w:p w14:paraId="334CB1E3">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仿宋_GB2312" w:eastAsia="仿宋_GB2312" w:cs="仿宋_GB2312"/>
          <w:b w:val="0"/>
          <w:color w:val="auto"/>
          <w:sz w:val="36"/>
          <w:szCs w:val="36"/>
          <w:highlight w:val="none"/>
          <w:lang w:val="en-US" w:eastAsia="zh-CN"/>
        </w:rPr>
      </w:pPr>
      <w:r>
        <w:rPr>
          <w:rFonts w:hint="eastAsia" w:ascii="方正楷体_GBK" w:hAnsi="方正楷体_GBK" w:eastAsia="方正楷体_GBK" w:cs="方正楷体_GBK"/>
          <w:b w:val="0"/>
          <w:bCs w:val="0"/>
          <w:color w:val="000000"/>
          <w:sz w:val="32"/>
          <w:szCs w:val="32"/>
          <w:highlight w:val="none"/>
          <w:lang w:val="en-US" w:eastAsia="zh-CN"/>
        </w:rPr>
        <w:t>（</w:t>
      </w:r>
      <w:r>
        <w:rPr>
          <w:rFonts w:hint="default" w:ascii="方正楷体_GBK" w:hAnsi="方正楷体_GBK" w:eastAsia="方正楷体_GBK" w:cs="方正楷体_GBK"/>
          <w:b w:val="0"/>
          <w:bCs w:val="0"/>
          <w:color w:val="000000"/>
          <w:sz w:val="32"/>
          <w:szCs w:val="32"/>
          <w:highlight w:val="none"/>
          <w:lang w:val="en-US" w:eastAsia="zh-CN"/>
        </w:rPr>
        <w:t>二</w:t>
      </w:r>
      <w:r>
        <w:rPr>
          <w:rFonts w:hint="eastAsia" w:ascii="方正楷体_GBK" w:hAnsi="方正楷体_GBK" w:eastAsia="方正楷体_GBK" w:cs="方正楷体_GBK"/>
          <w:b w:val="0"/>
          <w:bCs w:val="0"/>
          <w:color w:val="000000"/>
          <w:sz w:val="32"/>
          <w:szCs w:val="32"/>
          <w:highlight w:val="none"/>
          <w:lang w:val="en-US" w:eastAsia="zh-CN"/>
        </w:rPr>
        <w:t>）连队（行政村）市场单元</w:t>
      </w:r>
      <w:r>
        <w:rPr>
          <w:rFonts w:hint="default" w:ascii="方正楷体_GBK" w:hAnsi="方正楷体_GBK" w:eastAsia="方正楷体_GBK" w:cs="方正楷体_GBK"/>
          <w:b w:val="0"/>
          <w:bCs w:val="0"/>
          <w:color w:val="000000"/>
          <w:sz w:val="32"/>
          <w:szCs w:val="32"/>
          <w:highlight w:val="none"/>
          <w:lang w:val="en-US" w:eastAsia="zh-CN"/>
        </w:rPr>
        <w:t>：</w:t>
      </w:r>
      <w:r>
        <w:rPr>
          <w:rFonts w:hint="eastAsia" w:ascii="仿宋_GB2312" w:hAnsi="仿宋_GB2312" w:eastAsia="仿宋_GB2312" w:cs="仿宋_GB2312"/>
          <w:b w:val="0"/>
          <w:color w:val="auto"/>
          <w:sz w:val="32"/>
          <w:highlight w:val="none"/>
          <w:lang w:val="en-US" w:eastAsia="zh-CN"/>
        </w:rPr>
        <w:t>连队（行政村）市场单元指依据昆玉市人民政府部门依法划定的连队管理委员会法定管辖区域，或经属地乡镇人民政府确认并纳入统一管理的自然村落区域。多连队聚居在有社区服务管理体系片区的情况，参照社区市场单元执行。</w:t>
      </w:r>
    </w:p>
    <w:p w14:paraId="5CA8F9C3">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eastAsia" w:ascii="方正楷体_GBK" w:hAnsi="方正楷体_GBK" w:eastAsia="方正楷体_GBK" w:cs="方正楷体_GBK"/>
          <w:b w:val="0"/>
          <w:bCs w:val="0"/>
          <w:color w:val="000000"/>
          <w:sz w:val="32"/>
          <w:szCs w:val="32"/>
          <w:highlight w:val="none"/>
          <w:lang w:val="en-US" w:eastAsia="zh-CN"/>
        </w:rPr>
        <w:t>（</w:t>
      </w:r>
      <w:r>
        <w:rPr>
          <w:rFonts w:hint="default" w:ascii="方正楷体_GBK" w:hAnsi="方正楷体_GBK" w:eastAsia="方正楷体_GBK" w:cs="方正楷体_GBK"/>
          <w:b w:val="0"/>
          <w:bCs w:val="0"/>
          <w:color w:val="000000"/>
          <w:sz w:val="32"/>
          <w:szCs w:val="32"/>
          <w:highlight w:val="none"/>
          <w:lang w:val="en-US" w:eastAsia="zh-CN"/>
        </w:rPr>
        <w:t>三</w:t>
      </w:r>
      <w:r>
        <w:rPr>
          <w:rFonts w:hint="eastAsia" w:ascii="方正楷体_GBK" w:hAnsi="方正楷体_GBK" w:eastAsia="方正楷体_GBK" w:cs="方正楷体_GBK"/>
          <w:b w:val="0"/>
          <w:bCs w:val="0"/>
          <w:color w:val="000000"/>
          <w:sz w:val="32"/>
          <w:szCs w:val="32"/>
          <w:highlight w:val="none"/>
          <w:lang w:val="en-US" w:eastAsia="zh-CN"/>
        </w:rPr>
        <w:t>）特殊区域市场单元</w:t>
      </w:r>
      <w:r>
        <w:rPr>
          <w:rFonts w:hint="default" w:ascii="方正楷体_GBK" w:hAnsi="方正楷体_GBK" w:eastAsia="方正楷体_GBK" w:cs="方正楷体_GBK"/>
          <w:b w:val="0"/>
          <w:bCs w:val="0"/>
          <w:color w:val="000000"/>
          <w:sz w:val="32"/>
          <w:szCs w:val="32"/>
          <w:highlight w:val="none"/>
          <w:lang w:val="en-US" w:eastAsia="zh-CN"/>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指基于其封闭管理及特定服务功能</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如交通枢纽、旅游景区等</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主要服务于内部驻留人员或特定流动人群的经营场所区域</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经昆玉市烟草专卖局确认后</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可独立划定市场单元</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p>
    <w:p w14:paraId="76368209">
      <w:pPr>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default" w:ascii="黑体" w:hAnsi="黑体" w:eastAsia="黑体" w:cs="黑体"/>
          <w:b w:val="0"/>
          <w:color w:val="000000"/>
          <w:kern w:val="2"/>
          <w:sz w:val="32"/>
          <w:szCs w:val="24"/>
          <w:highlight w:val="none"/>
          <w:lang w:val="en-US" w:eastAsia="zh-CN" w:bidi="ar-SA"/>
        </w:rPr>
        <w:t>第</w:t>
      </w:r>
      <w:r>
        <w:rPr>
          <w:rFonts w:hint="eastAsia" w:ascii="黑体" w:hAnsi="黑体" w:eastAsia="黑体" w:cs="黑体"/>
          <w:b w:val="0"/>
          <w:color w:val="000000"/>
          <w:kern w:val="2"/>
          <w:sz w:val="32"/>
          <w:szCs w:val="24"/>
          <w:highlight w:val="none"/>
          <w:lang w:val="en-US" w:eastAsia="zh-CN" w:bidi="ar-SA"/>
        </w:rPr>
        <w:t>八</w:t>
      </w:r>
      <w:r>
        <w:rPr>
          <w:rFonts w:hint="default" w:ascii="黑体" w:hAnsi="黑体" w:eastAsia="黑体" w:cs="黑体"/>
          <w:b w:val="0"/>
          <w:color w:val="000000"/>
          <w:kern w:val="2"/>
          <w:sz w:val="32"/>
          <w:szCs w:val="24"/>
          <w:highlight w:val="none"/>
          <w:lang w:val="en-US" w:eastAsia="zh-CN" w:bidi="ar-SA"/>
        </w:rPr>
        <w:t>条</w:t>
      </w:r>
      <w:r>
        <w:rPr>
          <w:rFonts w:hint="eastAsia" w:ascii="黑体" w:hAnsi="黑体" w:eastAsia="黑体" w:cs="黑体"/>
          <w:b w:val="0"/>
          <w:color w:val="000000"/>
          <w:kern w:val="2"/>
          <w:sz w:val="32"/>
          <w:szCs w:val="24"/>
          <w:highlight w:val="none"/>
          <w:lang w:val="en-US" w:eastAsia="zh-CN" w:bidi="ar-SA"/>
        </w:rPr>
        <w:t xml:space="preserve"> </w:t>
      </w:r>
      <w:r>
        <w:rPr>
          <w:rFonts w:hint="eastAsia" w:ascii="仿宋_GB2312" w:hAnsi="仿宋_GB2312" w:eastAsia="仿宋_GB2312" w:cs="仿宋_GB2312"/>
          <w:b w:val="0"/>
          <w:bCs w:val="0"/>
          <w:color w:val="auto"/>
          <w:kern w:val="2"/>
          <w:sz w:val="32"/>
          <w:szCs w:val="32"/>
          <w:highlight w:val="none"/>
          <w:lang w:val="en-US" w:eastAsia="zh-CN" w:bidi="ar-SA"/>
        </w:rPr>
        <w:t>综合考虑</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社会功能属性、经济发展状况、消费环境</w:t>
      </w:r>
      <w:r>
        <w:rPr>
          <w:rFonts w:hint="eastAsia" w:ascii="仿宋_GB2312" w:hAnsi="仿宋_GB2312" w:eastAsia="仿宋_GB2312" w:cs="仿宋_GB2312"/>
          <w:b w:val="0"/>
          <w:bCs w:val="0"/>
          <w:color w:val="auto"/>
          <w:kern w:val="2"/>
          <w:sz w:val="32"/>
          <w:szCs w:val="32"/>
          <w:highlight w:val="none"/>
          <w:lang w:val="en-US" w:eastAsia="zh-CN" w:bidi="ar-SA"/>
        </w:rPr>
        <w:t>以及持证户数量等因素，</w:t>
      </w:r>
      <w:r>
        <w:rPr>
          <w:rFonts w:hint="eastAsia" w:ascii="仿宋_GB2312" w:hAnsi="仿宋_GB2312" w:eastAsia="仿宋_GB2312" w:cs="仿宋_GB2312"/>
          <w:b w:val="0"/>
          <w:color w:val="auto"/>
          <w:sz w:val="32"/>
          <w:highlight w:val="none"/>
        </w:rPr>
        <w:t>科学测算市场合理容量</w:t>
      </w:r>
      <w:r>
        <w:rPr>
          <w:rFonts w:hint="eastAsia" w:ascii="仿宋_GB2312" w:hAnsi="仿宋_GB2312" w:eastAsia="仿宋_GB2312" w:cs="仿宋_GB2312"/>
          <w:color w:val="auto"/>
          <w:sz w:val="32"/>
          <w:szCs w:val="32"/>
        </w:rPr>
        <w:t>。</w:t>
      </w:r>
    </w:p>
    <w:p w14:paraId="41F6780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eastAsia" w:ascii="黑体" w:hAnsi="黑体" w:eastAsia="黑体" w:cs="黑体"/>
          <w:b w:val="0"/>
          <w:color w:val="000000"/>
          <w:kern w:val="2"/>
          <w:sz w:val="32"/>
          <w:szCs w:val="24"/>
          <w:highlight w:val="none"/>
          <w:lang w:val="en-US" w:eastAsia="zh-CN" w:bidi="ar-SA"/>
        </w:rPr>
        <w:t xml:space="preserve">第九条 </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根据不同市场单元实际情况，建立“饱和区、稳定区、发展区”三位一体的分区分类管控体系，实施精细化管理。</w:t>
      </w:r>
    </w:p>
    <w:p w14:paraId="2C01822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default" w:ascii="方正楷体_GBK" w:hAnsi="方正楷体_GBK" w:eastAsia="方正楷体_GBK" w:cs="方正楷体_GBK"/>
          <w:b w:val="0"/>
          <w:bCs w:val="0"/>
          <w:color w:val="000000"/>
          <w:sz w:val="32"/>
          <w:szCs w:val="32"/>
          <w:highlight w:val="none"/>
          <w:lang w:val="en-US" w:eastAsia="zh-CN"/>
        </w:rPr>
        <w:t>（一）饱和区。</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零售点数量超过合理容量上限的市场单元，按照“只退不增”原则优化零售点布局（放宽情形除外），直至该市场单元状态变为稳定状态或发展状态。</w:t>
      </w:r>
    </w:p>
    <w:p w14:paraId="46E1B32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default" w:ascii="方正楷体_GBK" w:hAnsi="方正楷体_GBK" w:eastAsia="方正楷体_GBK" w:cs="方正楷体_GBK"/>
          <w:b w:val="0"/>
          <w:bCs w:val="0"/>
          <w:color w:val="000000"/>
          <w:sz w:val="32"/>
          <w:szCs w:val="32"/>
          <w:highlight w:val="none"/>
          <w:lang w:val="en-US" w:eastAsia="zh-CN"/>
        </w:rPr>
        <w:t>（二）稳定区。</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零售点数量达到合理容量上限的市场单元，根据“退一进一”原则设置零售点。</w:t>
      </w:r>
    </w:p>
    <w:p w14:paraId="11118BC6">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color w:val="000000"/>
          <w:kern w:val="2"/>
          <w:sz w:val="32"/>
          <w:szCs w:val="24"/>
          <w:highlight w:val="none"/>
          <w:lang w:val="en-US" w:eastAsia="zh-CN" w:bidi="ar-SA"/>
        </w:rPr>
      </w:pPr>
      <w:r>
        <w:rPr>
          <w:rFonts w:hint="default" w:ascii="方正楷体_GBK" w:hAnsi="方正楷体_GBK" w:eastAsia="方正楷体_GBK" w:cs="方正楷体_GBK"/>
          <w:b w:val="0"/>
          <w:bCs w:val="0"/>
          <w:color w:val="000000"/>
          <w:sz w:val="32"/>
          <w:szCs w:val="32"/>
          <w:highlight w:val="none"/>
          <w:lang w:val="en-US" w:eastAsia="zh-CN"/>
        </w:rPr>
        <w:t>（三）发展区。</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零售点数量未达到合理容量上限的市场单元，根据“自然增长”原则设置零售点，直至该市场单元状态变为稳定状态。</w:t>
      </w:r>
    </w:p>
    <w:p w14:paraId="62DFC7B5">
      <w:pPr>
        <w:keepNext w:val="0"/>
        <w:keepLines w:val="0"/>
        <w:pageBreakBefore w:val="0"/>
        <w:widowControl/>
        <w:kinsoku/>
        <w:wordWrap/>
        <w:overflowPunct/>
        <w:topLinePunct w:val="0"/>
        <w:autoSpaceDE/>
        <w:autoSpaceDN/>
        <w:bidi w:val="0"/>
        <w:adjustRightInd/>
        <w:snapToGrid/>
        <w:spacing w:line="560" w:lineRule="exact"/>
        <w:ind w:firstLine="640" w:firstLineChars="200"/>
        <w:jc w:val="both"/>
        <w:textAlignment w:val="auto"/>
        <w:rPr>
          <w:rFonts w:hint="eastAsia" w:ascii="黑体" w:hAnsi="黑体" w:eastAsia="黑体" w:cs="黑体"/>
          <w:b w:val="0"/>
          <w:color w:val="000000"/>
          <w:kern w:val="2"/>
          <w:sz w:val="32"/>
          <w:szCs w:val="24"/>
          <w:highlight w:val="none"/>
          <w:lang w:val="en-US" w:eastAsia="zh-CN" w:bidi="ar-SA"/>
        </w:rPr>
      </w:pPr>
      <w:r>
        <w:rPr>
          <w:rFonts w:hint="eastAsia" w:ascii="黑体" w:hAnsi="黑体" w:eastAsia="黑体" w:cs="黑体"/>
          <w:b w:val="0"/>
          <w:color w:val="000000"/>
          <w:kern w:val="2"/>
          <w:sz w:val="32"/>
          <w:szCs w:val="24"/>
          <w:highlight w:val="none"/>
          <w:lang w:val="en-US" w:eastAsia="zh-CN" w:bidi="ar-SA"/>
        </w:rPr>
        <w:t xml:space="preserve">第十条 </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市场单元内零售点数量达到容量上限的，</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按申请人意愿</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实行轮候管理</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，由发证机关按照轮候顺序通知申请人依次依法申办烟草专卖零售许可证。</w:t>
      </w:r>
    </w:p>
    <w:p w14:paraId="5953693B">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pPr>
      <w:r>
        <w:rPr>
          <w:rFonts w:hint="eastAsia" w:ascii="黑体" w:hAnsi="黑体" w:eastAsia="黑体" w:cs="黑体"/>
          <w:b w:val="0"/>
          <w:color w:val="000000"/>
          <w:kern w:val="2"/>
          <w:sz w:val="32"/>
          <w:szCs w:val="24"/>
          <w:highlight w:val="none"/>
          <w:lang w:val="en-US" w:eastAsia="zh-CN" w:bidi="ar-SA"/>
        </w:rPr>
        <w:t>第十一条</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 xml:space="preserve"> 昆玉市</w:t>
      </w:r>
      <w:r>
        <w:rPr>
          <w:rFonts w:hint="default"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烟草专卖局</w:t>
      </w:r>
      <w:r>
        <w:rPr>
          <w:rFonts w:hint="eastAsia" w:ascii="仿宋_GB2312" w:hAnsi="仿宋_GB2312" w:eastAsia="仿宋_GB2312" w:cs="仿宋_GB2312"/>
          <w:b w:val="0"/>
          <w:color w:val="auto"/>
          <w:sz w:val="32"/>
          <w:highlight w:val="none"/>
          <w:lang w:val="en-US" w:eastAsia="zh-CN"/>
        </w:rPr>
        <w:t>定期对市场单元划分和零售点容量上限进行动态调整，调整频率原则上每年不超过两次，调整结果通过“新烟政务通”平台等渠道对外公示后实施</w:t>
      </w:r>
      <w:r>
        <w:rPr>
          <w:rFonts w:hint="eastAsia" w:ascii="仿宋_GB2312" w:hAnsi="微软雅黑" w:eastAsia="仿宋_GB2312" w:cs="仿宋_GB2312"/>
          <w:b w:val="0"/>
          <w:bCs w:val="0"/>
          <w:i w:val="0"/>
          <w:iCs w:val="0"/>
          <w:caps w:val="0"/>
          <w:color w:val="auto"/>
          <w:spacing w:val="0"/>
          <w:kern w:val="2"/>
          <w:sz w:val="32"/>
          <w:szCs w:val="32"/>
          <w:highlight w:val="none"/>
          <w:shd w:val="clear" w:color="auto" w:fill="FFFFFF"/>
          <w:lang w:val="en-US" w:eastAsia="zh-CN" w:bidi="ar-SA"/>
        </w:rPr>
        <w:t>。</w:t>
      </w:r>
    </w:p>
    <w:p w14:paraId="1E2A3E8A">
      <w:pPr>
        <w:keepNext w:val="0"/>
        <w:keepLines w:val="0"/>
        <w:pageBreakBefore w:val="0"/>
        <w:tabs>
          <w:tab w:val="center" w:pos="4153"/>
          <w:tab w:val="left" w:pos="7820"/>
          <w:tab w:val="right" w:pos="8306"/>
        </w:tabs>
        <w:kinsoku/>
        <w:wordWrap/>
        <w:overflowPunct/>
        <w:topLinePunct w:val="0"/>
        <w:autoSpaceDE/>
        <w:autoSpaceDN/>
        <w:bidi w:val="0"/>
        <w:adjustRightInd/>
        <w:snapToGrid/>
        <w:spacing w:line="560" w:lineRule="exact"/>
        <w:jc w:val="center"/>
        <w:textAlignment w:val="auto"/>
        <w:rPr>
          <w:rFonts w:hint="default" w:ascii="黑体" w:hAnsi="黑体" w:eastAsia="黑体"/>
          <w:sz w:val="32"/>
          <w:szCs w:val="32"/>
          <w:lang w:val="en-US" w:eastAsia="zh-CN"/>
        </w:rPr>
      </w:pPr>
      <w:r>
        <w:rPr>
          <w:rFonts w:hint="default" w:ascii="黑体" w:hAnsi="黑体" w:eastAsia="黑体"/>
          <w:sz w:val="32"/>
          <w:szCs w:val="32"/>
          <w:lang w:val="en-US" w:eastAsia="zh-CN"/>
        </w:rPr>
        <w:t>第三章</w:t>
      </w:r>
      <w:r>
        <w:rPr>
          <w:rFonts w:hint="eastAsia" w:ascii="黑体" w:hAnsi="黑体" w:eastAsia="黑体"/>
          <w:sz w:val="32"/>
          <w:szCs w:val="32"/>
          <w:lang w:val="en-US" w:eastAsia="zh-CN"/>
        </w:rPr>
        <w:t xml:space="preserve"> </w:t>
      </w:r>
      <w:r>
        <w:rPr>
          <w:rFonts w:hint="default" w:ascii="黑体" w:hAnsi="黑体" w:eastAsia="黑体"/>
          <w:sz w:val="32"/>
          <w:szCs w:val="32"/>
          <w:lang w:val="en-US" w:eastAsia="zh-CN"/>
        </w:rPr>
        <w:t>单元布局标准</w:t>
      </w:r>
    </w:p>
    <w:p w14:paraId="2EA3AA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二</w:t>
      </w:r>
      <w:r>
        <w:rPr>
          <w:rFonts w:hint="default" w:ascii="黑体" w:hAnsi="黑体" w:eastAsia="黑体" w:cs="黑体"/>
          <w:b w:val="0"/>
          <w:color w:val="000000"/>
          <w:kern w:val="2"/>
          <w:sz w:val="32"/>
          <w:szCs w:val="24"/>
          <w:highlight w:val="none"/>
          <w:lang w:val="en-US" w:eastAsia="zh-CN" w:bidi="ar-SA"/>
        </w:rPr>
        <w:t>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社区市场单元</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采取“</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容量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+间距</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+限制性条款</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”的布局模式</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p>
    <w:p w14:paraId="7741C83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仿宋_GB2312" w:eastAsia="仿宋_GB2312" w:cs="仿宋_GB2312"/>
          <w:color w:val="auto"/>
          <w:sz w:val="32"/>
          <w:szCs w:val="32"/>
          <w:lang w:val="en-US" w:eastAsia="zh-CN"/>
        </w:rPr>
        <w:t>1.</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经营业态为便利店、烟草专业店、超市、商场的，除满足市场单元容量要求外，距离</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最近零售点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间距不小于30米。</w:t>
      </w:r>
    </w:p>
    <w:p w14:paraId="75B5DDF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2.经营业态为</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娱乐服务类、其他类的，</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除满足市场单元容量要求外，</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距离最近零售点间距不小于</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200</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米。</w:t>
      </w:r>
    </w:p>
    <w:p w14:paraId="1D9E042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三</w:t>
      </w:r>
      <w:r>
        <w:rPr>
          <w:rFonts w:hint="default" w:ascii="黑体" w:hAnsi="黑体" w:eastAsia="黑体" w:cs="黑体"/>
          <w:b w:val="0"/>
          <w:color w:val="000000"/>
          <w:kern w:val="2"/>
          <w:sz w:val="32"/>
          <w:szCs w:val="24"/>
          <w:highlight w:val="none"/>
          <w:lang w:val="en-US" w:eastAsia="zh-CN" w:bidi="ar-SA"/>
        </w:rPr>
        <w:t>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仿宋_GB2312" w:eastAsia="仿宋_GB2312" w:cs="仿宋_GB2312"/>
          <w:b w:val="0"/>
          <w:color w:val="auto"/>
          <w:sz w:val="32"/>
          <w:highlight w:val="none"/>
          <w:lang w:val="en-US" w:eastAsia="zh-CN"/>
        </w:rPr>
        <w:t>连队（行政村）</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市场单元采取</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容量+限制性条款</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”的布局</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模式。</w:t>
      </w:r>
    </w:p>
    <w:p w14:paraId="410E680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连队（行政村）</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按照</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户籍</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人数设置零售点，设置标准为每</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700</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人可设置1个零售点，每增加</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700</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人可增设1个零售点；不足</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700</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人的可设置1个零售点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p>
    <w:p w14:paraId="5128EC9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国道、省道公路</w:t>
      </w:r>
      <w:r>
        <w:rPr>
          <w:rFonts w:hint="eastAsia" w:ascii="仿宋_GB2312" w:hAnsi="仿宋_GB2312" w:eastAsia="仿宋_GB2312" w:cs="仿宋_GB2312"/>
          <w:b w:val="0"/>
          <w:color w:val="auto"/>
          <w:sz w:val="32"/>
          <w:highlight w:val="none"/>
          <w:lang w:val="en-US" w:eastAsia="zh-CN"/>
        </w:rPr>
        <w:t>沿线在连队（行政村）范围内设置的零售点</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间距不</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于100米</w:t>
      </w:r>
      <w:r>
        <w:rPr>
          <w:rFonts w:hint="eastAsia" w:ascii="仿宋_GB2312" w:hAnsi="仿宋_GB2312" w:eastAsia="仿宋_GB2312" w:cs="仿宋_GB2312"/>
          <w:b w:val="0"/>
          <w:color w:val="auto"/>
          <w:sz w:val="32"/>
          <w:highlight w:val="none"/>
          <w:lang w:val="en-US"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不受</w:t>
      </w:r>
      <w:r>
        <w:rPr>
          <w:rFonts w:hint="eastAsia" w:ascii="仿宋_GB2312" w:hAnsi="仿宋_GB2312" w:eastAsia="仿宋_GB2312" w:cs="仿宋_GB2312"/>
          <w:b w:val="0"/>
          <w:color w:val="auto"/>
          <w:sz w:val="32"/>
          <w:highlight w:val="none"/>
          <w:lang w:val="en-US" w:eastAsia="zh-CN"/>
        </w:rPr>
        <w:t>连队（行政村）</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容量限制，</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不占用该</w:t>
      </w:r>
      <w:r>
        <w:rPr>
          <w:rFonts w:hint="eastAsia" w:ascii="仿宋_GB2312" w:hAnsi="仿宋_GB2312" w:eastAsia="仿宋_GB2312" w:cs="仿宋_GB2312"/>
          <w:b w:val="0"/>
          <w:color w:val="auto"/>
          <w:sz w:val="32"/>
          <w:highlight w:val="none"/>
          <w:lang w:val="en-US" w:eastAsia="zh-CN"/>
        </w:rPr>
        <w:t>连队（行政村）</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w:t>
      </w:r>
    </w:p>
    <w:p w14:paraId="7E5683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四</w:t>
      </w:r>
      <w:r>
        <w:rPr>
          <w:rFonts w:hint="default" w:ascii="黑体" w:hAnsi="黑体" w:eastAsia="黑体" w:cs="黑体"/>
          <w:b w:val="0"/>
          <w:color w:val="000000"/>
          <w:kern w:val="2"/>
          <w:sz w:val="32"/>
          <w:szCs w:val="24"/>
          <w:highlight w:val="none"/>
          <w:lang w:val="en-US" w:eastAsia="zh-CN" w:bidi="ar-SA"/>
        </w:rPr>
        <w:t>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特殊区域市场单元采取</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容量+限制性条款</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”的布局</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模式。</w:t>
      </w:r>
    </w:p>
    <w:p w14:paraId="414E5E1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火车站、</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高速服务区、封闭式景区等场所内部</w:t>
      </w:r>
      <w:r>
        <w:rPr>
          <w:rFonts w:hint="eastAsia" w:ascii="仿宋_GB2312" w:eastAsia="仿宋_GB2312"/>
          <w:color w:val="auto"/>
          <w:sz w:val="32"/>
          <w:szCs w:val="32"/>
        </w:rPr>
        <w:t>最多不超过</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个</w:t>
      </w:r>
      <w:r>
        <w:rPr>
          <w:rFonts w:hint="eastAsia" w:ascii="仿宋_GB2312" w:eastAsia="仿宋_GB2312"/>
          <w:color w:val="auto"/>
          <w:sz w:val="32"/>
          <w:szCs w:val="32"/>
          <w:lang w:eastAsia="zh-CN"/>
        </w:rPr>
        <w:t>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p>
    <w:p w14:paraId="5943B1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000000"/>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.职工人数在</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3</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00人以上的厂矿企业场所内部</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可设置</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1个</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每增加300人可增设一个零售点，最多不超过3个零售点。</w:t>
      </w:r>
    </w:p>
    <w:p w14:paraId="777A23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3.有设置项目部的且工程工期在一年以上的建筑工地，用工人数在300人以上的，可在生活区内设置1个零售点，每增加300人可增设一个零售点，最多不超过3个零售点，</w:t>
      </w:r>
    </w:p>
    <w:p w14:paraId="5871A2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且零售点取得的许可证有效期限为该工程的竣工期限。</w:t>
      </w:r>
    </w:p>
    <w:p w14:paraId="6502A3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4.封闭式管控单位或场所，专供内部消费且能接受烟草专卖局日常检查的经营场所内部最多不超过3个零售点</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p>
    <w:p w14:paraId="2FF9B9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五</w:t>
      </w:r>
      <w:r>
        <w:rPr>
          <w:rFonts w:hint="default" w:ascii="黑体" w:hAnsi="黑体" w:eastAsia="黑体" w:cs="黑体"/>
          <w:b w:val="0"/>
          <w:color w:val="000000"/>
          <w:kern w:val="2"/>
          <w:sz w:val="32"/>
          <w:szCs w:val="24"/>
          <w:highlight w:val="none"/>
          <w:lang w:val="en-US" w:eastAsia="zh-CN" w:bidi="ar-SA"/>
        </w:rPr>
        <w:t>条</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雪茄烟专营店采取“</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量+限制性条款”的布局模式。</w:t>
      </w:r>
    </w:p>
    <w:p w14:paraId="4AA428D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申请烟草专卖零售许可范围仅为“雪茄烟本店零售”的零售点，不划定市场单元，不受间距限制，雪茄烟专营店</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容量</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不超过上年度本辖区烟草制品零售点总数的千分之五，且应明确满足开展雪茄烟经营的经营场所条件</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达到上限按照“退一进一”的原则办理。</w:t>
      </w:r>
    </w:p>
    <w:p w14:paraId="5BDFC9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华文仿宋" w:hAnsi="华文仿宋" w:eastAsia="华文仿宋" w:cs="华文仿宋"/>
          <w:b w:val="0"/>
          <w:bCs w:val="0"/>
          <w:color w:val="auto"/>
          <w:kern w:val="2"/>
          <w:sz w:val="32"/>
          <w:szCs w:val="32"/>
          <w:highlight w:val="none"/>
          <w:lang w:val="en-US" w:eastAsia="zh-CN" w:bidi="ar-SA"/>
        </w:rPr>
      </w:pP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雪茄烟专营店申请增加或调整为卷烟零售的，应申请变更许可范围，且需符合卷烟零售点布局规划要求</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雪茄烟专营店与非雪茄烟专营店之间，互不作为零售点数量、间距的参照物。</w:t>
      </w:r>
    </w:p>
    <w:p w14:paraId="00FBB048">
      <w:pPr>
        <w:keepNext w:val="0"/>
        <w:keepLines w:val="0"/>
        <w:pageBreakBefore w:val="0"/>
        <w:tabs>
          <w:tab w:val="center" w:pos="4153"/>
          <w:tab w:val="left" w:pos="7820"/>
          <w:tab w:val="right" w:pos="8306"/>
        </w:tabs>
        <w:kinsoku/>
        <w:wordWrap/>
        <w:overflowPunct/>
        <w:topLinePunct w:val="0"/>
        <w:autoSpaceDE/>
        <w:autoSpaceDN/>
        <w:bidi w:val="0"/>
        <w:adjustRightInd/>
        <w:snapToGrid/>
        <w:spacing w:line="560" w:lineRule="exact"/>
        <w:jc w:val="center"/>
        <w:textAlignment w:val="auto"/>
        <w:rPr>
          <w:rFonts w:hint="default" w:ascii="黑体" w:hAnsi="黑体" w:eastAsia="黑体"/>
          <w:sz w:val="32"/>
          <w:szCs w:val="32"/>
          <w:lang w:val="en-US" w:eastAsia="zh-CN"/>
        </w:rPr>
      </w:pPr>
      <w:r>
        <w:rPr>
          <w:rFonts w:hint="default" w:ascii="黑体" w:hAnsi="黑体" w:eastAsia="黑体"/>
          <w:sz w:val="32"/>
          <w:szCs w:val="32"/>
          <w:lang w:val="en-US" w:eastAsia="zh-CN"/>
        </w:rPr>
        <w:t>第四章</w:t>
      </w:r>
      <w:r>
        <w:rPr>
          <w:rFonts w:hint="eastAsia" w:ascii="黑体" w:hAnsi="黑体" w:eastAsia="黑体"/>
          <w:sz w:val="32"/>
          <w:szCs w:val="32"/>
          <w:lang w:val="en-US" w:eastAsia="zh-CN"/>
        </w:rPr>
        <w:t xml:space="preserve"> </w:t>
      </w:r>
      <w:r>
        <w:rPr>
          <w:rFonts w:hint="default" w:ascii="黑体" w:hAnsi="黑体" w:eastAsia="黑体"/>
          <w:sz w:val="32"/>
          <w:szCs w:val="32"/>
          <w:lang w:val="en-US" w:eastAsia="zh-CN"/>
        </w:rPr>
        <w:t>放宽情形</w:t>
      </w:r>
    </w:p>
    <w:p w14:paraId="46771F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default" w:ascii="黑体" w:hAnsi="黑体" w:eastAsia="黑体" w:cs="黑体"/>
          <w:b w:val="0"/>
          <w:color w:val="000000"/>
          <w:kern w:val="2"/>
          <w:sz w:val="32"/>
          <w:szCs w:val="24"/>
          <w:highlight w:val="none"/>
          <w:lang w:val="en-US" w:eastAsia="zh-CN" w:bidi="ar-SA"/>
        </w:rPr>
        <w:t>第十</w:t>
      </w:r>
      <w:r>
        <w:rPr>
          <w:rFonts w:hint="eastAsia" w:ascii="黑体" w:hAnsi="黑体" w:eastAsia="黑体" w:cs="黑体"/>
          <w:b w:val="0"/>
          <w:color w:val="000000"/>
          <w:kern w:val="2"/>
          <w:sz w:val="32"/>
          <w:szCs w:val="24"/>
          <w:highlight w:val="none"/>
          <w:lang w:val="en-US" w:eastAsia="zh-CN" w:bidi="ar-SA"/>
        </w:rPr>
        <w:t>六</w:t>
      </w:r>
      <w:r>
        <w:rPr>
          <w:rFonts w:hint="default" w:ascii="黑体" w:hAnsi="黑体" w:eastAsia="黑体" w:cs="黑体"/>
          <w:b w:val="0"/>
          <w:color w:val="000000"/>
          <w:kern w:val="2"/>
          <w:sz w:val="32"/>
          <w:szCs w:val="24"/>
          <w:highlight w:val="none"/>
          <w:lang w:val="en-US" w:eastAsia="zh-CN" w:bidi="ar-SA"/>
        </w:rPr>
        <w:t xml:space="preserve">条 </w:t>
      </w:r>
      <w:r>
        <w:rPr>
          <w:rFonts w:hint="eastAsia" w:ascii="仿宋_GB2312" w:hAnsi="仿宋_GB2312" w:eastAsia="仿宋_GB2312" w:cs="仿宋_GB2312"/>
          <w:b w:val="0"/>
          <w:color w:val="000000"/>
          <w:sz w:val="32"/>
          <w:szCs w:val="32"/>
        </w:rPr>
        <w:t>属于下列情形之一的，可以视当地实际对以下情形在数量、间距方面给予适当放宽</w:t>
      </w:r>
      <w:r>
        <w:rPr>
          <w:rFonts w:hint="eastAsia" w:ascii="仿宋_GB2312" w:hAnsi="仿宋_GB2312" w:cs="仿宋_GB2312"/>
          <w:b w:val="0"/>
          <w:color w:val="000000"/>
          <w:sz w:val="32"/>
          <w:szCs w:val="32"/>
          <w:lang w:eastAsia="zh-CN"/>
        </w:rPr>
        <w:t>，</w:t>
      </w:r>
      <w:r>
        <w:rPr>
          <w:rFonts w:hint="eastAsia" w:ascii="仿宋_GB2312" w:hAnsi="仿宋_GB2312" w:eastAsia="仿宋_GB2312" w:cs="仿宋_GB2312"/>
          <w:b w:val="0"/>
          <w:color w:val="000000"/>
          <w:sz w:val="32"/>
          <w:szCs w:val="32"/>
          <w:lang w:val="en-US" w:eastAsia="zh-CN"/>
        </w:rPr>
        <w:t>但</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对经营场所基于安全要求及中小学、幼儿园周围的限制规定等不得放宽。</w:t>
      </w:r>
    </w:p>
    <w:p w14:paraId="56854A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方正楷体_GBK" w:hAnsi="方正楷体_GBK" w:eastAsia="方正楷体_GBK" w:cs="方正楷体_GBK"/>
          <w:b w:val="0"/>
          <w:bCs w:val="0"/>
          <w:color w:val="000000"/>
          <w:kern w:val="2"/>
          <w:sz w:val="32"/>
          <w:szCs w:val="32"/>
          <w:highlight w:val="none"/>
          <w:lang w:val="en-US" w:eastAsia="zh-CN" w:bidi="ar-SA"/>
        </w:rPr>
      </w:pPr>
      <w:r>
        <w:rPr>
          <w:rFonts w:hint="default" w:ascii="方正楷体_GBK" w:hAnsi="方正楷体_GBK" w:eastAsia="方正楷体_GBK" w:cs="方正楷体_GBK"/>
          <w:b w:val="0"/>
          <w:bCs w:val="0"/>
          <w:color w:val="000000"/>
          <w:kern w:val="2"/>
          <w:sz w:val="32"/>
          <w:szCs w:val="32"/>
          <w:highlight w:val="none"/>
          <w:lang w:val="en-US" w:eastAsia="zh-CN" w:bidi="ar-SA"/>
        </w:rPr>
        <w:t>（一）特殊照顾政策</w:t>
      </w:r>
    </w:p>
    <w:p w14:paraId="155E71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1.未持有烟草专卖零售许可证且具备完全民事行为能力的申请人，符合以下情形之一的，不受</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量、间距限制：</w:t>
      </w:r>
    </w:p>
    <w:p w14:paraId="409368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（1）属于军烈属（含烈士遗属、因公牺牲军人遗属等）、退役残疾军人的个体工商户，本人全国范围内首次申请办理烟草专卖零售许可证；</w:t>
      </w:r>
    </w:p>
    <w:p w14:paraId="49E528A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（2）《警民共建、从优待警、惠警帮扶合作备忘录》《新疆维吾尔自治区烟草专卖局 自治区公安厅特侦队警民共建、从优待警、惠警帮扶合作备忘录》等制度规定的情形。</w:t>
      </w:r>
    </w:p>
    <w:p w14:paraId="4792BF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2.未持有烟草专卖零售许可证且具备完全民事行为能力的申请人，符合以下情形之一的，</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量上不予放宽，间距上放宽50%：</w:t>
      </w:r>
    </w:p>
    <w:p w14:paraId="587CC9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（1）持有三级以上（含三级）残疾人证（含视力残疾、听力残疾、言语残疾或肢体残疾）的个体工商户，本人全国范围内首次申请办理烟草专卖零售许可证；</w:t>
      </w:r>
    </w:p>
    <w:p w14:paraId="7F4BA2C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（2）持有本辖区户籍且两年内未落实就业的退役军人，本人全国范围内首次申请办理烟草专卖零售许可证；</w:t>
      </w:r>
    </w:p>
    <w:p w14:paraId="66F163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（3）昆玉市及以上人民政府明文规定给予政策扶持并经昆玉市烟草专卖局集体研究认为可以扶持照顾的对象。</w:t>
      </w:r>
    </w:p>
    <w:p w14:paraId="6AC825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二</w:t>
      </w:r>
      <w:r>
        <w:rPr>
          <w:rFonts w:hint="default" w:ascii="方正楷体_GBK" w:hAnsi="方正楷体_GBK" w:eastAsia="方正楷体_GBK" w:cs="方正楷体_GBK"/>
          <w:b w:val="0"/>
          <w:bCs w:val="0"/>
          <w:color w:val="000000"/>
          <w:sz w:val="32"/>
          <w:szCs w:val="32"/>
          <w:highlight w:val="none"/>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接续经营</w:t>
      </w:r>
      <w:r>
        <w:rPr>
          <w:rFonts w:hint="default" w:ascii="方正楷体_GBK" w:hAnsi="方正楷体_GBK" w:eastAsia="方正楷体_GBK" w:cs="方正楷体_GBK"/>
          <w:b w:val="0"/>
          <w:bCs w:val="0"/>
          <w:color w:val="000000"/>
          <w:sz w:val="32"/>
          <w:szCs w:val="32"/>
          <w:highlight w:val="none"/>
          <w:lang w:val="en-US" w:eastAsia="zh-CN"/>
        </w:rPr>
        <w:t>政策</w:t>
      </w:r>
    </w:p>
    <w:p w14:paraId="656526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符合以下情形之一，申请人重新提出新办申请的，</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可</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在</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量</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上放宽30%</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、间距上放宽</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50%</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p>
    <w:p w14:paraId="126C225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1.因道路规划、城市建设、房屋征收等客观原因造成无法在核定经营场所经营，持证人在6个月内申请变更到原发证机关辖区内其他地址经营的；</w:t>
      </w:r>
    </w:p>
    <w:p w14:paraId="6A9D5C4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因中小学、幼儿园新建、改造导致的先店后校、先店后门等情况，以及合理布局规划修订等客观原因造成零售点不符合相关要求的，持证人在6个月内申请变更到原发证机关辖区内其他地址经营的；</w:t>
      </w:r>
    </w:p>
    <w:p w14:paraId="2646E5B1">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rightChars="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3</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非家庭经营的个体工商户，两年内无涉烟违法记录，因持证人死亡或者丧失民事行为能力，烟草专卖零售许可证被依法注销后30个自然日内，原持证人的家庭成员（具有完全民事行为能力的配偶、父母、子女）在原经营场所提出新办申请的。</w:t>
      </w:r>
    </w:p>
    <w:p w14:paraId="468E5B5C">
      <w:pPr>
        <w:keepNext w:val="0"/>
        <w:keepLines w:val="0"/>
        <w:pageBreakBefore w:val="0"/>
        <w:tabs>
          <w:tab w:val="center" w:pos="4153"/>
          <w:tab w:val="left" w:pos="7820"/>
          <w:tab w:val="right" w:pos="8306"/>
        </w:tabs>
        <w:kinsoku/>
        <w:wordWrap/>
        <w:overflowPunct/>
        <w:topLinePunct w:val="0"/>
        <w:autoSpaceDE/>
        <w:autoSpaceDN/>
        <w:bidi w:val="0"/>
        <w:adjustRightInd/>
        <w:snapToGrid/>
        <w:spacing w:line="560" w:lineRule="exact"/>
        <w:jc w:val="center"/>
        <w:textAlignment w:val="auto"/>
        <w:rPr>
          <w:rFonts w:hint="default" w:ascii="黑体" w:hAnsi="黑体" w:eastAsia="黑体"/>
          <w:sz w:val="32"/>
          <w:szCs w:val="32"/>
          <w:lang w:val="en-US" w:eastAsia="zh-CN"/>
        </w:rPr>
      </w:pPr>
      <w:r>
        <w:rPr>
          <w:rFonts w:hint="default" w:ascii="黑体" w:hAnsi="黑体" w:eastAsia="黑体"/>
          <w:sz w:val="32"/>
          <w:szCs w:val="32"/>
          <w:lang w:val="en-US" w:eastAsia="zh-CN"/>
        </w:rPr>
        <w:t>第五章</w:t>
      </w:r>
      <w:r>
        <w:rPr>
          <w:rFonts w:hint="eastAsia" w:ascii="黑体" w:hAnsi="黑体" w:eastAsia="黑体"/>
          <w:sz w:val="32"/>
          <w:szCs w:val="32"/>
          <w:lang w:val="en-US" w:eastAsia="zh-CN"/>
        </w:rPr>
        <w:t xml:space="preserve"> </w:t>
      </w:r>
      <w:r>
        <w:rPr>
          <w:rFonts w:hint="default" w:ascii="黑体" w:hAnsi="黑体" w:eastAsia="黑体"/>
          <w:sz w:val="32"/>
          <w:szCs w:val="32"/>
          <w:lang w:val="en-US" w:eastAsia="zh-CN"/>
        </w:rPr>
        <w:t>限制性条款</w:t>
      </w:r>
    </w:p>
    <w:p w14:paraId="0829B4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微软雅黑" w:hAnsi="微软雅黑" w:eastAsia="微软雅黑" w:cs="微软雅黑"/>
          <w:b w:val="0"/>
          <w:bCs w:val="0"/>
          <w:i w:val="0"/>
          <w:iCs w:val="0"/>
          <w:caps w:val="0"/>
          <w:color w:val="auto"/>
          <w:spacing w:val="0"/>
          <w:sz w:val="32"/>
          <w:szCs w:val="32"/>
          <w:highlight w:val="none"/>
        </w:rPr>
      </w:pPr>
      <w:r>
        <w:rPr>
          <w:rFonts w:hint="default" w:ascii="黑体" w:hAnsi="黑体" w:eastAsia="黑体" w:cs="黑体"/>
          <w:b w:val="0"/>
          <w:color w:val="000000"/>
          <w:kern w:val="2"/>
          <w:sz w:val="32"/>
          <w:szCs w:val="24"/>
          <w:highlight w:val="none"/>
          <w:lang w:val="en-US" w:eastAsia="zh-CN" w:bidi="ar-SA"/>
        </w:rPr>
        <w:t>第</w:t>
      </w:r>
      <w:r>
        <w:rPr>
          <w:rFonts w:hint="eastAsia" w:ascii="黑体" w:hAnsi="黑体" w:eastAsia="黑体" w:cs="黑体"/>
          <w:b w:val="0"/>
          <w:color w:val="000000"/>
          <w:kern w:val="2"/>
          <w:sz w:val="32"/>
          <w:szCs w:val="24"/>
          <w:highlight w:val="none"/>
          <w:lang w:val="en-US" w:eastAsia="zh-CN" w:bidi="ar-SA"/>
        </w:rPr>
        <w:t>十七</w:t>
      </w:r>
      <w:r>
        <w:rPr>
          <w:rFonts w:hint="default" w:ascii="黑体" w:hAnsi="黑体" w:eastAsia="黑体" w:cs="黑体"/>
          <w:b w:val="0"/>
          <w:color w:val="000000"/>
          <w:kern w:val="2"/>
          <w:sz w:val="32"/>
          <w:szCs w:val="24"/>
          <w:highlight w:val="none"/>
          <w:lang w:val="en-US" w:eastAsia="zh-CN" w:bidi="ar-SA"/>
        </w:rPr>
        <w:t>条</w:t>
      </w:r>
      <w:r>
        <w:rPr>
          <w:rFonts w:hint="eastAsia" w:ascii="黑体" w:hAnsi="黑体" w:eastAsia="黑体" w:cs="黑体"/>
          <w:b w:val="0"/>
          <w:color w:val="000000"/>
          <w:kern w:val="2"/>
          <w:sz w:val="32"/>
          <w:szCs w:val="24"/>
          <w:highlight w:val="none"/>
          <w:lang w:val="en-US" w:eastAsia="zh-CN" w:bidi="ar-SA"/>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具有下列情形之一的，不予设置零售点:</w:t>
      </w:r>
    </w:p>
    <w:p w14:paraId="73C74BB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default" w:ascii="楷体" w:hAnsi="楷体" w:eastAsia="楷体" w:cs="楷体"/>
          <w:b w:val="0"/>
          <w:bCs w:val="0"/>
          <w:color w:val="000000"/>
          <w:sz w:val="32"/>
          <w:szCs w:val="32"/>
          <w:highlight w:val="none"/>
          <w:lang w:val="en-US" w:eastAsia="zh-CN"/>
        </w:rPr>
        <w:t>（</w:t>
      </w:r>
      <w:r>
        <w:rPr>
          <w:rFonts w:hint="eastAsia" w:ascii="楷体" w:hAnsi="楷体" w:eastAsia="楷体" w:cs="楷体"/>
          <w:b w:val="0"/>
          <w:bCs w:val="0"/>
          <w:color w:val="000000"/>
          <w:sz w:val="32"/>
          <w:szCs w:val="32"/>
          <w:highlight w:val="none"/>
          <w:lang w:val="en-US" w:eastAsia="zh-CN"/>
        </w:rPr>
        <w:t>一</w:t>
      </w:r>
      <w:r>
        <w:rPr>
          <w:rFonts w:hint="default" w:ascii="楷体" w:hAnsi="楷体" w:eastAsia="楷体" w:cs="楷体"/>
          <w:b w:val="0"/>
          <w:bCs w:val="0"/>
          <w:color w:val="000000"/>
          <w:sz w:val="32"/>
          <w:szCs w:val="32"/>
          <w:highlight w:val="none"/>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申请主体</w:t>
      </w:r>
    </w:p>
    <w:p w14:paraId="4E013C0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1.未成年人、无民事行为能力人及限制民事行为能力人；</w:t>
      </w:r>
    </w:p>
    <w:p w14:paraId="6DC6EBF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2.外商投资的商业企业或者个体工商户，又或以特许、吸纳加盟店等其他外商再投资形式变相经营的，但国家烟草专卖行政主管部门明文规定的例外情形除外；</w:t>
      </w:r>
    </w:p>
    <w:p w14:paraId="651EB2D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3.取消从事烟草专卖业务资格不满三年的；</w:t>
      </w:r>
    </w:p>
    <w:p w14:paraId="2FD2B41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4.因申请人隐瞒有关情况或者提供虚假材料，烟草专卖行政主管部门作出不予受理或者不予发证决定后，申请人一年内再次提出申请的；</w:t>
      </w:r>
    </w:p>
    <w:p w14:paraId="6B30B42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5.申请人以欺骗、贿赂等不正当手段取得的烟草专卖零售许可证被撤销后，申请人三年内再次提出申请的；</w:t>
      </w:r>
    </w:p>
    <w:p w14:paraId="22AC1F6F">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6.未领取烟草专卖零售许可证经营烟草制品业务，并且一年内被执法机关处罚两次以上，在三年内申请领取烟草专卖零售许可证的；</w:t>
      </w:r>
    </w:p>
    <w:p w14:paraId="3E9AC30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7.未领取烟草专卖零售许可证经营烟草制品业务被追究刑事责任，在三年内申请领取烟草专卖零售许可证的；</w:t>
      </w:r>
    </w:p>
    <w:p w14:paraId="35E3D3E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8.未持有合法有效的营业执照。</w:t>
      </w:r>
    </w:p>
    <w:p w14:paraId="37C3129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default" w:ascii="楷体" w:hAnsi="楷体" w:eastAsia="楷体" w:cs="楷体"/>
          <w:b w:val="0"/>
          <w:bCs w:val="0"/>
          <w:color w:val="000000"/>
          <w:sz w:val="32"/>
          <w:szCs w:val="32"/>
          <w:highlight w:val="none"/>
          <w:lang w:val="en-US" w:eastAsia="zh-CN"/>
        </w:rPr>
        <w:t>（</w:t>
      </w:r>
      <w:r>
        <w:rPr>
          <w:rFonts w:hint="eastAsia" w:ascii="楷体" w:hAnsi="楷体" w:eastAsia="楷体" w:cs="楷体"/>
          <w:b w:val="0"/>
          <w:bCs w:val="0"/>
          <w:color w:val="000000"/>
          <w:sz w:val="32"/>
          <w:szCs w:val="32"/>
          <w:highlight w:val="none"/>
          <w:lang w:val="en-US" w:eastAsia="zh-CN"/>
        </w:rPr>
        <w:t>二</w:t>
      </w:r>
      <w:r>
        <w:rPr>
          <w:rFonts w:hint="default" w:ascii="楷体" w:hAnsi="楷体" w:eastAsia="楷体" w:cs="楷体"/>
          <w:b w:val="0"/>
          <w:bCs w:val="0"/>
          <w:color w:val="000000"/>
          <w:sz w:val="32"/>
          <w:szCs w:val="32"/>
          <w:highlight w:val="none"/>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经营场所</w:t>
      </w:r>
    </w:p>
    <w:p w14:paraId="3DF91AA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1.无固定经营场所的，如流动摊点（车、棚、柜）、违章建筑、临时建筑（设施）、危房以及尚未竣工或未交付使用的场所等；</w:t>
      </w:r>
    </w:p>
    <w:p w14:paraId="30CCA3C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2.经营场所与住所不相独立的，如住宅公寓、仓库、生活住所的车库、地下室、储藏室等未对消费者全开放的场所等；</w:t>
      </w:r>
    </w:p>
    <w:p w14:paraId="11106C0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3.经营场所基于安全因素不适宜经营卷烟的，包括但不限于生产、经营、储存有毒有害、易燃易爆、放射性、易挥发及具有刺激性气味等物品，容易造成烟草制品污染的油漆化工、农药化肥、烟花爆竹、机油制品等的场所（符合法定条件，具备安全保障措施的加油站、加气站便利店除外）。</w:t>
      </w:r>
    </w:p>
    <w:p w14:paraId="0F066DA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default"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4.</w:t>
      </w: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住宅改变为经营性用房，不符合《中华人民共和国民法典》第二百七十九条规定情形的</w:t>
      </w:r>
      <w:r>
        <w:rPr>
          <w:rFonts w:hint="default"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w:t>
      </w:r>
    </w:p>
    <w:p w14:paraId="4C2906E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default" w:ascii="楷体" w:hAnsi="楷体" w:eastAsia="楷体" w:cs="楷体"/>
          <w:b w:val="0"/>
          <w:bCs w:val="0"/>
          <w:color w:val="000000"/>
          <w:sz w:val="32"/>
          <w:szCs w:val="32"/>
          <w:highlight w:val="none"/>
          <w:lang w:val="en-US" w:eastAsia="zh-CN"/>
        </w:rPr>
        <w:t>（</w:t>
      </w:r>
      <w:r>
        <w:rPr>
          <w:rFonts w:hint="eastAsia" w:ascii="楷体" w:hAnsi="楷体" w:eastAsia="楷体" w:cs="楷体"/>
          <w:b w:val="0"/>
          <w:bCs w:val="0"/>
          <w:color w:val="000000"/>
          <w:sz w:val="32"/>
          <w:szCs w:val="32"/>
          <w:highlight w:val="none"/>
          <w:lang w:val="en-US" w:eastAsia="zh-CN"/>
        </w:rPr>
        <w:t>三</w:t>
      </w:r>
      <w:r>
        <w:rPr>
          <w:rFonts w:hint="default" w:ascii="楷体" w:hAnsi="楷体" w:eastAsia="楷体" w:cs="楷体"/>
          <w:b w:val="0"/>
          <w:bCs w:val="0"/>
          <w:color w:val="000000"/>
          <w:sz w:val="32"/>
          <w:szCs w:val="32"/>
          <w:highlight w:val="none"/>
          <w:lang w:val="en-US" w:eastAsia="zh-CN"/>
        </w:rPr>
        <w:t>）</w:t>
      </w:r>
      <w:r>
        <w:rPr>
          <w:rFonts w:hint="eastAsia" w:ascii="方正楷体_GBK" w:hAnsi="方正楷体_GBK" w:eastAsia="方正楷体_GBK" w:cs="方正楷体_GBK"/>
          <w:b w:val="0"/>
          <w:bCs w:val="0"/>
          <w:color w:val="000000"/>
          <w:sz w:val="32"/>
          <w:szCs w:val="32"/>
          <w:highlight w:val="none"/>
          <w:lang w:val="en-US" w:eastAsia="zh-CN"/>
        </w:rPr>
        <w:t>经营模式</w:t>
      </w:r>
    </w:p>
    <w:p w14:paraId="53D7204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1.利用自动售货机或其他自动售货形式，销售或者变相销售烟草制品的（含无人现场值守的自助商店）；</w:t>
      </w:r>
    </w:p>
    <w:p w14:paraId="54196D1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pPr>
      <w:r>
        <w:rPr>
          <w:rFonts w:hint="eastAsia" w:ascii="仿宋_GB2312" w:hAnsi="微软雅黑" w:eastAsia="仿宋_GB2312" w:cs="仿宋_GB2312"/>
          <w:b w:val="0"/>
          <w:bCs w:val="0"/>
          <w:i w:val="0"/>
          <w:iCs w:val="0"/>
          <w:caps w:val="0"/>
          <w:color w:val="auto"/>
          <w:spacing w:val="0"/>
          <w:kern w:val="0"/>
          <w:sz w:val="32"/>
          <w:szCs w:val="32"/>
          <w:highlight w:val="none"/>
          <w:shd w:val="clear" w:color="auto" w:fill="FFFFFF"/>
          <w:lang w:val="en-US" w:eastAsia="zh-CN" w:bidi="ar"/>
        </w:rPr>
        <w:t>2.利用信息网络渠道销售烟草制品的。</w:t>
      </w:r>
    </w:p>
    <w:p w14:paraId="7B7177F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方正楷体_GBK" w:hAnsi="方正楷体_GBK" w:eastAsia="方正楷体_GBK" w:cs="方正楷体_GBK"/>
          <w:b w:val="0"/>
          <w:bCs w:val="0"/>
          <w:color w:val="000000"/>
          <w:sz w:val="32"/>
          <w:szCs w:val="32"/>
          <w:highlight w:val="none"/>
          <w:lang w:val="en-US" w:eastAsia="zh-CN"/>
        </w:rPr>
      </w:pPr>
      <w:r>
        <w:rPr>
          <w:rFonts w:hint="eastAsia" w:ascii="方正楷体_GBK" w:hAnsi="方正楷体_GBK" w:eastAsia="方正楷体_GBK" w:cs="方正楷体_GBK"/>
          <w:b w:val="0"/>
          <w:bCs w:val="0"/>
          <w:color w:val="000000"/>
          <w:sz w:val="32"/>
          <w:szCs w:val="32"/>
          <w:highlight w:val="none"/>
          <w:lang w:val="en-US" w:eastAsia="zh-CN"/>
        </w:rPr>
        <w:t>（四）特殊区域</w:t>
      </w:r>
    </w:p>
    <w:p w14:paraId="4452319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hint="default" w:ascii="微软雅黑" w:hAnsi="微软雅黑" w:eastAsia="微软雅黑" w:cs="微软雅黑"/>
          <w:b w:val="0"/>
          <w:bCs w:val="0"/>
          <w:i w:val="0"/>
          <w:iCs w:val="0"/>
          <w:caps w:val="0"/>
          <w:color w:val="auto"/>
          <w:spacing w:val="0"/>
          <w:sz w:val="32"/>
          <w:szCs w:val="32"/>
          <w:highlight w:val="none"/>
        </w:rPr>
      </w:pPr>
      <w:r>
        <w:rPr>
          <w:rFonts w:hint="eastAsia" w:ascii="仿宋_GB2312" w:hAnsi="仿宋_GB2312" w:eastAsia="仿宋_GB2312" w:cs="仿宋_GB2312"/>
          <w:b w:val="0"/>
          <w:color w:val="auto"/>
          <w:sz w:val="32"/>
          <w:highlight w:val="none"/>
          <w:lang w:val="en-US" w:eastAsia="zh-CN"/>
        </w:rPr>
        <w:t>1.</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经营场所位于</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城</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镇</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的</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学校、幼儿园内部及校园出入口距离100米（含）范围内的；</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位于</w:t>
      </w:r>
      <w:r>
        <w:rPr>
          <w:rFonts w:hint="eastAsia" w:ascii="仿宋_GB2312" w:hAnsi="仿宋_GB2312" w:eastAsia="仿宋_GB2312" w:cs="仿宋_GB2312"/>
          <w:b w:val="0"/>
          <w:color w:val="auto"/>
          <w:sz w:val="32"/>
          <w:highlight w:val="none"/>
          <w:lang w:val="en-US" w:eastAsia="zh-CN"/>
        </w:rPr>
        <w:t>连队（行政村）</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的</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学校、幼儿园内部及校园出入口距离50米（含）范围内的</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；另有法律、法规、规章严于此规定的，遵照相关法律法规规章执行。</w:t>
      </w:r>
    </w:p>
    <w:p w14:paraId="509A353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2.党政机关内部的；</w:t>
      </w:r>
    </w:p>
    <w:p w14:paraId="03370C5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3.医疗卫生机构内部的；</w:t>
      </w:r>
    </w:p>
    <w:p w14:paraId="06FA4A3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b w:val="0"/>
          <w:color w:val="auto"/>
          <w:sz w:val="32"/>
          <w:highlight w:val="none"/>
          <w:lang w:val="en-US" w:eastAsia="zh-CN"/>
        </w:rPr>
      </w:pPr>
      <w:r>
        <w:rPr>
          <w:rFonts w:hint="eastAsia" w:ascii="仿宋_GB2312" w:hAnsi="仿宋_GB2312" w:eastAsia="仿宋_GB2312" w:cs="仿宋_GB2312"/>
          <w:b w:val="0"/>
          <w:color w:val="auto"/>
          <w:sz w:val="32"/>
          <w:highlight w:val="none"/>
          <w:lang w:val="en-US" w:eastAsia="zh-CN"/>
        </w:rPr>
        <w:t>4.主营业务属于专业性较强、与烟草制品零售业务无直接或间接互补营销关系的经营业态，如母婴用品、文具、玩具、五金建材、建筑装潢、美容美发、化妆品店、药妆医械、中草药售卖、宠物店、文化体育用品、音像制品、家电家具、修理修配、洗涤护理、服装制售、鞋帽箱包、寄卖典当、古董店、汽车相关（维修、销售、美容等）、殡葬用品店、成人用品店等。</w:t>
      </w:r>
    </w:p>
    <w:p w14:paraId="1C490B0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eastAsia" w:ascii="仿宋_GB2312" w:hAnsi="仿宋_GB2312" w:eastAsia="仿宋_GB2312" w:cs="仿宋_GB2312"/>
          <w:b w:val="0"/>
          <w:color w:val="auto"/>
          <w:sz w:val="32"/>
          <w:highlight w:val="none"/>
          <w:lang w:val="en-US" w:eastAsia="zh-CN"/>
        </w:rPr>
        <w:t>5.法律、法规、规章和国家烟草专卖局规定的其他不予发证的情形，以及当地烟草专卖局依照规定设定的不予设置零售点的其他情形。</w:t>
      </w:r>
    </w:p>
    <w:p w14:paraId="75F6D1EF">
      <w:pPr>
        <w:keepNext w:val="0"/>
        <w:keepLines w:val="0"/>
        <w:pageBreakBefore w:val="0"/>
        <w:tabs>
          <w:tab w:val="center" w:pos="4153"/>
          <w:tab w:val="left" w:pos="7820"/>
          <w:tab w:val="right" w:pos="8306"/>
        </w:tabs>
        <w:kinsoku/>
        <w:wordWrap/>
        <w:overflowPunct/>
        <w:topLinePunct w:val="0"/>
        <w:autoSpaceDE/>
        <w:autoSpaceDN/>
        <w:bidi w:val="0"/>
        <w:adjustRightInd/>
        <w:snapToGrid/>
        <w:spacing w:line="560" w:lineRule="exact"/>
        <w:jc w:val="center"/>
        <w:textAlignment w:val="auto"/>
        <w:rPr>
          <w:rFonts w:hint="default" w:ascii="黑体" w:hAnsi="黑体" w:eastAsia="黑体"/>
          <w:sz w:val="32"/>
          <w:szCs w:val="32"/>
          <w:lang w:val="en-US" w:eastAsia="zh-CN"/>
        </w:rPr>
      </w:pPr>
      <w:r>
        <w:rPr>
          <w:rFonts w:hint="default" w:ascii="黑体" w:hAnsi="黑体" w:eastAsia="黑体"/>
          <w:sz w:val="32"/>
          <w:szCs w:val="32"/>
          <w:lang w:val="en-US" w:eastAsia="zh-CN"/>
        </w:rPr>
        <w:t>第六章</w:t>
      </w:r>
      <w:r>
        <w:rPr>
          <w:rFonts w:hint="eastAsia" w:ascii="黑体" w:hAnsi="黑体" w:eastAsia="黑体"/>
          <w:sz w:val="32"/>
          <w:szCs w:val="32"/>
          <w:lang w:val="en-US" w:eastAsia="zh-CN"/>
        </w:rPr>
        <w:t xml:space="preserve"> </w:t>
      </w:r>
      <w:r>
        <w:rPr>
          <w:rFonts w:hint="default" w:ascii="黑体" w:hAnsi="黑体" w:eastAsia="黑体"/>
          <w:sz w:val="32"/>
          <w:szCs w:val="32"/>
          <w:lang w:val="en-US" w:eastAsia="zh-CN"/>
        </w:rPr>
        <w:t>附则</w:t>
      </w:r>
    </w:p>
    <w:p w14:paraId="16E05F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Times New Roman"/>
          <w:kern w:val="2"/>
          <w:sz w:val="32"/>
          <w:szCs w:val="32"/>
          <w:lang w:val="en-US" w:eastAsia="zh-CN" w:bidi="ar-SA"/>
        </w:rPr>
        <w:t>第</w:t>
      </w:r>
      <w:r>
        <w:rPr>
          <w:rFonts w:hint="eastAsia" w:ascii="黑体" w:hAnsi="黑体" w:eastAsia="黑体" w:cs="Times New Roman"/>
          <w:kern w:val="2"/>
          <w:sz w:val="32"/>
          <w:szCs w:val="32"/>
          <w:lang w:val="en-US" w:eastAsia="zh-CN" w:bidi="ar-SA"/>
        </w:rPr>
        <w:t>十八</w:t>
      </w:r>
      <w:r>
        <w:rPr>
          <w:rFonts w:hint="default" w:ascii="黑体" w:hAnsi="黑体" w:eastAsia="黑体" w:cs="Times New Roman"/>
          <w:kern w:val="2"/>
          <w:sz w:val="32"/>
          <w:szCs w:val="32"/>
          <w:lang w:val="en-US" w:eastAsia="zh-CN" w:bidi="ar-SA"/>
        </w:rPr>
        <w:t>条</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经营场所的确定应当以营业执照上经营场所的登记地址或相关部门核定的地址名称为准(经营场所地址应细化到门牌号)，最终根据专卖执法人员实地核查结果确定。</w:t>
      </w:r>
    </w:p>
    <w:p w14:paraId="4D5B20A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default" w:ascii="黑体" w:hAnsi="黑体" w:eastAsia="黑体" w:cs="Times New Roman"/>
          <w:kern w:val="2"/>
          <w:sz w:val="32"/>
          <w:szCs w:val="32"/>
          <w:lang w:val="en-US" w:eastAsia="zh-CN" w:bidi="ar-SA"/>
        </w:rPr>
        <w:t>第</w:t>
      </w:r>
      <w:r>
        <w:rPr>
          <w:rFonts w:hint="eastAsia" w:ascii="黑体" w:hAnsi="黑体" w:eastAsia="黑体" w:cs="Times New Roman"/>
          <w:kern w:val="2"/>
          <w:sz w:val="32"/>
          <w:szCs w:val="32"/>
          <w:lang w:val="en-US" w:eastAsia="zh-CN" w:bidi="ar-SA"/>
        </w:rPr>
        <w:t>十九</w:t>
      </w:r>
      <w:r>
        <w:rPr>
          <w:rFonts w:hint="default" w:ascii="黑体" w:hAnsi="黑体" w:eastAsia="黑体" w:cs="Times New Roman"/>
          <w:kern w:val="2"/>
          <w:sz w:val="32"/>
          <w:szCs w:val="32"/>
          <w:lang w:val="en-US" w:eastAsia="zh-CN" w:bidi="ar-SA"/>
        </w:rPr>
        <w:t>条</w:t>
      </w:r>
      <w:r>
        <w:rPr>
          <w:rFonts w:hint="eastAsia" w:ascii="仿宋_GB2312" w:hAnsi="微软雅黑" w:eastAsia="仿宋_GB2312" w:cs="仿宋_GB2312"/>
          <w:b/>
          <w:bCs/>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本规划中涉及的中小学、幼儿园，是指在当地教育行政主管部门核准登记目录内的中小学、幼儿园。不包括幼儿看护、早教、学前托管等场所。</w:t>
      </w:r>
    </w:p>
    <w:p w14:paraId="16DC86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rPr>
      </w:pPr>
      <w:r>
        <w:rPr>
          <w:rFonts w:hint="default" w:ascii="黑体" w:hAnsi="黑体" w:eastAsia="黑体" w:cs="Times New Roman"/>
          <w:kern w:val="2"/>
          <w:sz w:val="32"/>
          <w:szCs w:val="32"/>
          <w:lang w:val="en-US" w:eastAsia="zh-CN" w:bidi="ar-SA"/>
        </w:rPr>
        <w:t>第</w:t>
      </w:r>
      <w:r>
        <w:rPr>
          <w:rFonts w:hint="eastAsia" w:ascii="黑体" w:hAnsi="黑体" w:eastAsia="黑体" w:cs="Times New Roman"/>
          <w:kern w:val="2"/>
          <w:sz w:val="32"/>
          <w:szCs w:val="32"/>
          <w:lang w:val="en-US" w:eastAsia="zh-CN" w:bidi="ar-SA"/>
        </w:rPr>
        <w:t>二十</w:t>
      </w:r>
      <w:r>
        <w:rPr>
          <w:rFonts w:hint="default" w:ascii="黑体" w:hAnsi="黑体" w:eastAsia="黑体" w:cs="Times New Roman"/>
          <w:kern w:val="2"/>
          <w:sz w:val="32"/>
          <w:szCs w:val="32"/>
          <w:lang w:val="en-US" w:eastAsia="zh-CN" w:bidi="ar-SA"/>
        </w:rPr>
        <w:t>条</w:t>
      </w:r>
      <w:r>
        <w:rPr>
          <w:rFonts w:hint="eastAsia" w:ascii="仿宋_GB2312" w:hAnsi="微软雅黑" w:eastAsia="仿宋_GB2312" w:cs="仿宋_GB2312"/>
          <w:b/>
          <w:bCs/>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本规划所称的</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以上</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不超过</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不小于</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均含本数。</w:t>
      </w:r>
    </w:p>
    <w:p w14:paraId="386506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pPr>
      <w:r>
        <w:rPr>
          <w:rFonts w:hint="default" w:ascii="黑体" w:hAnsi="黑体" w:eastAsia="黑体" w:cs="Times New Roman"/>
          <w:kern w:val="2"/>
          <w:sz w:val="32"/>
          <w:szCs w:val="32"/>
          <w:lang w:val="en-US" w:eastAsia="zh-CN" w:bidi="ar-SA"/>
        </w:rPr>
        <w:t>第</w:t>
      </w:r>
      <w:r>
        <w:rPr>
          <w:rFonts w:hint="eastAsia" w:ascii="黑体" w:hAnsi="黑体" w:eastAsia="黑体" w:cs="Times New Roman"/>
          <w:kern w:val="2"/>
          <w:sz w:val="32"/>
          <w:szCs w:val="32"/>
          <w:lang w:val="en-US" w:eastAsia="zh-CN" w:bidi="ar-SA"/>
        </w:rPr>
        <w:t>二十一</w:t>
      </w:r>
      <w:r>
        <w:rPr>
          <w:rFonts w:hint="default" w:ascii="黑体" w:hAnsi="黑体" w:eastAsia="黑体" w:cs="Times New Roman"/>
          <w:kern w:val="2"/>
          <w:sz w:val="32"/>
          <w:szCs w:val="32"/>
          <w:lang w:val="en-US" w:eastAsia="zh-CN" w:bidi="ar-SA"/>
        </w:rPr>
        <w:t>条</w:t>
      </w:r>
      <w:r>
        <w:rPr>
          <w:rFonts w:hint="eastAsia" w:ascii="仿宋_GB2312" w:hAnsi="微软雅黑" w:eastAsia="仿宋_GB2312" w:cs="仿宋_GB2312"/>
          <w:b/>
          <w:bCs/>
          <w:i w:val="0"/>
          <w:iCs w:val="0"/>
          <w:caps w:val="0"/>
          <w:color w:val="auto"/>
          <w:spacing w:val="0"/>
          <w:sz w:val="32"/>
          <w:szCs w:val="32"/>
          <w:highlight w:val="none"/>
          <w:shd w:val="clear" w:color="auto" w:fill="FFFFFF"/>
          <w:lang w:val="en-US" w:eastAsia="zh-CN"/>
        </w:rPr>
        <w:t xml:space="preserve"> </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本《</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规划</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》中</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“间距”</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rPr>
        <w:t>是指拟申请零售点与参照点之间测量距离。</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具体测量方法参照</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t>《</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昆玉市</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t>烟草制品零售点</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实地核查间距测量标准</w:t>
      </w:r>
      <w:r>
        <w:rPr>
          <w:rFonts w:hint="default" w:ascii="仿宋_GB2312" w:hAnsi="微软雅黑" w:eastAsia="仿宋_GB2312" w:cs="仿宋_GB2312"/>
          <w:b w:val="0"/>
          <w:bCs w:val="0"/>
          <w:i w:val="0"/>
          <w:iCs w:val="0"/>
          <w:caps w:val="0"/>
          <w:color w:val="auto"/>
          <w:spacing w:val="0"/>
          <w:sz w:val="32"/>
          <w:szCs w:val="32"/>
          <w:highlight w:val="none"/>
          <w:shd w:val="clear" w:color="auto" w:fill="FFFFFF"/>
          <w:lang w:eastAsia="zh-CN"/>
        </w:rPr>
        <w:t>》执行</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eastAsia="zh-CN"/>
        </w:rPr>
        <w:t>。</w:t>
      </w:r>
    </w:p>
    <w:p w14:paraId="78D183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黑体" w:hAnsi="黑体" w:eastAsia="黑体" w:cs="Times New Roman"/>
          <w:kern w:val="2"/>
          <w:sz w:val="32"/>
          <w:szCs w:val="32"/>
          <w:lang w:val="en-US" w:eastAsia="zh-CN" w:bidi="ar-SA"/>
        </w:rPr>
        <w:t xml:space="preserve">第二十二条 </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本规划由昆玉市烟草专卖局负责解释。</w:t>
      </w:r>
    </w:p>
    <w:p w14:paraId="6AC165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黑体" w:hAnsi="黑体" w:eastAsia="黑体" w:cs="Times New Roman"/>
          <w:kern w:val="2"/>
          <w:sz w:val="32"/>
          <w:szCs w:val="32"/>
          <w:lang w:val="en-US" w:eastAsia="zh-CN" w:bidi="ar-SA"/>
        </w:rPr>
        <w:t xml:space="preserve">第二十三条 </w:t>
      </w: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本规划自公布之日起30日后施行，施行日期为2026年10月16日，有效期五年。2021</w:t>
      </w:r>
      <w:bookmarkStart w:id="0" w:name="_GoBack"/>
      <w:bookmarkEnd w:id="0"/>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年10月28日印发实施的《昆玉市烟草制品零售点合理布局规划》同时废止。</w:t>
      </w:r>
    </w:p>
    <w:p w14:paraId="2B15335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黑体" w:hAnsi="黑体" w:eastAsia="黑体" w:cs="Times New Roman"/>
          <w:kern w:val="2"/>
          <w:sz w:val="32"/>
          <w:szCs w:val="32"/>
          <w:lang w:val="en-US" w:eastAsia="zh-CN" w:bidi="ar-SA"/>
        </w:rPr>
      </w:pPr>
    </w:p>
    <w:p w14:paraId="041078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黑体" w:hAnsi="黑体" w:eastAsia="黑体" w:cs="Times New Roman"/>
          <w:kern w:val="2"/>
          <w:sz w:val="32"/>
          <w:szCs w:val="32"/>
          <w:lang w:val="en-US" w:eastAsia="zh-CN" w:bidi="ar-SA"/>
        </w:rPr>
      </w:pPr>
    </w:p>
    <w:p w14:paraId="4CE9EC6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p>
    <w:p w14:paraId="05B856D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5120" w:firstLineChars="1600"/>
        <w:jc w:val="both"/>
        <w:textAlignment w:val="auto"/>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昆玉市烟草专卖局</w:t>
      </w:r>
    </w:p>
    <w:p w14:paraId="378B782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560" w:lineRule="exact"/>
        <w:ind w:right="0" w:firstLine="5120" w:firstLineChars="1600"/>
        <w:jc w:val="both"/>
        <w:textAlignment w:val="auto"/>
        <w:rPr>
          <w:rFonts w:hint="default"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pPr>
      <w:r>
        <w:rPr>
          <w:rFonts w:hint="eastAsia" w:ascii="仿宋_GB2312" w:hAnsi="微软雅黑" w:eastAsia="仿宋_GB2312" w:cs="仿宋_GB2312"/>
          <w:b w:val="0"/>
          <w:bCs w:val="0"/>
          <w:i w:val="0"/>
          <w:iCs w:val="0"/>
          <w:caps w:val="0"/>
          <w:color w:val="auto"/>
          <w:spacing w:val="0"/>
          <w:sz w:val="32"/>
          <w:szCs w:val="32"/>
          <w:highlight w:val="none"/>
          <w:shd w:val="clear" w:color="auto" w:fill="FFFFFF"/>
          <w:lang w:val="en-US" w:eastAsia="zh-CN"/>
        </w:rPr>
        <w:t>2026年9月16日</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CDF655D-5EF2-404B-9E65-213789D4F2A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embedRegular r:id="rId2" w:fontKey="{1709BB56-D4A2-4D70-8329-BA03C051D74E}"/>
  </w:font>
  <w:font w:name="微软雅黑">
    <w:panose1 w:val="020B0503020204020204"/>
    <w:charset w:val="86"/>
    <w:family w:val="auto"/>
    <w:pitch w:val="default"/>
    <w:sig w:usb0="80000287" w:usb1="280F3C52" w:usb2="00000016" w:usb3="00000000" w:csb0="0004001F" w:csb1="00000000"/>
    <w:embedRegular r:id="rId3" w:fontKey="{5151A5FF-B297-4721-9747-12DC994A9296}"/>
  </w:font>
  <w:font w:name="仿宋_GB2312">
    <w:panose1 w:val="02010609030101010101"/>
    <w:charset w:val="86"/>
    <w:family w:val="auto"/>
    <w:pitch w:val="default"/>
    <w:sig w:usb0="00000001" w:usb1="080E0000" w:usb2="00000000" w:usb3="00000000" w:csb0="00040000" w:csb1="00000000"/>
    <w:embedRegular r:id="rId4" w:fontKey="{957B9147-CE89-42BF-8FA7-0F21A81CA918}"/>
  </w:font>
  <w:font w:name="方正楷体_GBK">
    <w:altName w:val="微软雅黑"/>
    <w:panose1 w:val="02000000000000000000"/>
    <w:charset w:val="86"/>
    <w:family w:val="auto"/>
    <w:pitch w:val="default"/>
    <w:sig w:usb0="00000000" w:usb1="00000000" w:usb2="00000000" w:usb3="00000000" w:csb0="00040000" w:csb1="00000000"/>
    <w:embedRegular r:id="rId5" w:fontKey="{2B404283-7CC5-42BF-8E06-5AA61953FF62}"/>
  </w:font>
  <w:font w:name="华文仿宋">
    <w:altName w:val="仿宋"/>
    <w:panose1 w:val="02010600040101010101"/>
    <w:charset w:val="86"/>
    <w:family w:val="auto"/>
    <w:pitch w:val="default"/>
    <w:sig w:usb0="00000000" w:usb1="00000000" w:usb2="00000000" w:usb3="00000000" w:csb0="0004009F" w:csb1="DFD70000"/>
    <w:embedRegular r:id="rId6" w:fontKey="{A45F9E6A-E461-436E-A784-3892B6B744CC}"/>
  </w:font>
  <w:font w:name="楷体">
    <w:panose1 w:val="02010609060101010101"/>
    <w:charset w:val="86"/>
    <w:family w:val="auto"/>
    <w:pitch w:val="default"/>
    <w:sig w:usb0="800002BF" w:usb1="38CF7CFA" w:usb2="00000016" w:usb3="00000000" w:csb0="00040001" w:csb1="00000000"/>
    <w:embedRegular r:id="rId7" w:fontKey="{0D86C3A1-C102-446B-91E1-BD476E0C8BEF}"/>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TrueTypeFonts/>
  <w:saveSubsetFonts/>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wNjgyYjkyMjgyODYxZTUwZjBjOGEzYWFiOTdmMmMifQ=="/>
  </w:docVars>
  <w:rsids>
    <w:rsidRoot w:val="AEFFDBBC"/>
    <w:rsid w:val="02D72458"/>
    <w:rsid w:val="03703317"/>
    <w:rsid w:val="03937E86"/>
    <w:rsid w:val="03B421F8"/>
    <w:rsid w:val="03BF480C"/>
    <w:rsid w:val="073D0CEA"/>
    <w:rsid w:val="083750F3"/>
    <w:rsid w:val="0A257DC2"/>
    <w:rsid w:val="0A9123E5"/>
    <w:rsid w:val="0B3433F2"/>
    <w:rsid w:val="0BB9D78C"/>
    <w:rsid w:val="0BE595B0"/>
    <w:rsid w:val="0BE99085"/>
    <w:rsid w:val="0DFF9D9F"/>
    <w:rsid w:val="0F3F030F"/>
    <w:rsid w:val="0FA22032"/>
    <w:rsid w:val="11E657E6"/>
    <w:rsid w:val="123639F0"/>
    <w:rsid w:val="13DBC562"/>
    <w:rsid w:val="145A532D"/>
    <w:rsid w:val="14E34965"/>
    <w:rsid w:val="170E3ED8"/>
    <w:rsid w:val="175D5D83"/>
    <w:rsid w:val="182249A5"/>
    <w:rsid w:val="18A24A06"/>
    <w:rsid w:val="18BF27EF"/>
    <w:rsid w:val="19410B0E"/>
    <w:rsid w:val="1A507DF5"/>
    <w:rsid w:val="1A736AA5"/>
    <w:rsid w:val="1A8D4E1F"/>
    <w:rsid w:val="1B617245"/>
    <w:rsid w:val="1DD1A254"/>
    <w:rsid w:val="1DEB386E"/>
    <w:rsid w:val="1ED839B6"/>
    <w:rsid w:val="1EFEC52F"/>
    <w:rsid w:val="1FBB5338"/>
    <w:rsid w:val="205609C5"/>
    <w:rsid w:val="20831A0C"/>
    <w:rsid w:val="211163A5"/>
    <w:rsid w:val="23521C49"/>
    <w:rsid w:val="24487DF5"/>
    <w:rsid w:val="24605DB1"/>
    <w:rsid w:val="25D57534"/>
    <w:rsid w:val="2735168D"/>
    <w:rsid w:val="290870F3"/>
    <w:rsid w:val="294251AA"/>
    <w:rsid w:val="2B384A3D"/>
    <w:rsid w:val="2BF540C7"/>
    <w:rsid w:val="2C245E51"/>
    <w:rsid w:val="2C82701B"/>
    <w:rsid w:val="2CBF3D75"/>
    <w:rsid w:val="2D03163E"/>
    <w:rsid w:val="2D35737F"/>
    <w:rsid w:val="2D862508"/>
    <w:rsid w:val="2D8C14D3"/>
    <w:rsid w:val="2FE23DCB"/>
    <w:rsid w:val="31D106A0"/>
    <w:rsid w:val="32807969"/>
    <w:rsid w:val="35EEC43F"/>
    <w:rsid w:val="36806379"/>
    <w:rsid w:val="36F461C2"/>
    <w:rsid w:val="376A1DCA"/>
    <w:rsid w:val="37952988"/>
    <w:rsid w:val="38DD76F7"/>
    <w:rsid w:val="3A6442DC"/>
    <w:rsid w:val="3BEEF82D"/>
    <w:rsid w:val="3C776471"/>
    <w:rsid w:val="3CD91FD0"/>
    <w:rsid w:val="3D2C24D9"/>
    <w:rsid w:val="3D77B6D8"/>
    <w:rsid w:val="3DF545AE"/>
    <w:rsid w:val="3E839B30"/>
    <w:rsid w:val="3EB7DD72"/>
    <w:rsid w:val="3EBC4151"/>
    <w:rsid w:val="3F6972FC"/>
    <w:rsid w:val="3F6F10EA"/>
    <w:rsid w:val="3FDD0984"/>
    <w:rsid w:val="3FEFAF95"/>
    <w:rsid w:val="3FF47493"/>
    <w:rsid w:val="3FFD9807"/>
    <w:rsid w:val="3FFFA9CF"/>
    <w:rsid w:val="41624A8B"/>
    <w:rsid w:val="440E27E4"/>
    <w:rsid w:val="44555A9E"/>
    <w:rsid w:val="45A858ED"/>
    <w:rsid w:val="46E59DF8"/>
    <w:rsid w:val="470A7215"/>
    <w:rsid w:val="47A33674"/>
    <w:rsid w:val="487860B0"/>
    <w:rsid w:val="4930518A"/>
    <w:rsid w:val="4AB25676"/>
    <w:rsid w:val="506A7702"/>
    <w:rsid w:val="547DA143"/>
    <w:rsid w:val="55F72F49"/>
    <w:rsid w:val="567D5FDA"/>
    <w:rsid w:val="576C9B41"/>
    <w:rsid w:val="57F72CE9"/>
    <w:rsid w:val="5A6B6F88"/>
    <w:rsid w:val="5A9F9D93"/>
    <w:rsid w:val="5B3C2619"/>
    <w:rsid w:val="5CFA0C68"/>
    <w:rsid w:val="5DF179AA"/>
    <w:rsid w:val="5E1B2CA8"/>
    <w:rsid w:val="5F2D0D76"/>
    <w:rsid w:val="5FFAA38C"/>
    <w:rsid w:val="5FFAD82A"/>
    <w:rsid w:val="5FFDF7DA"/>
    <w:rsid w:val="632826FF"/>
    <w:rsid w:val="635E7188"/>
    <w:rsid w:val="636D30A5"/>
    <w:rsid w:val="63EB1780"/>
    <w:rsid w:val="65FA27CA"/>
    <w:rsid w:val="66AA497C"/>
    <w:rsid w:val="67F57948"/>
    <w:rsid w:val="69EF1D8C"/>
    <w:rsid w:val="6AFB247E"/>
    <w:rsid w:val="6D8C553B"/>
    <w:rsid w:val="6DEE4D24"/>
    <w:rsid w:val="6DF709E2"/>
    <w:rsid w:val="6E787F27"/>
    <w:rsid w:val="6EFEB0D8"/>
    <w:rsid w:val="6F1F1360"/>
    <w:rsid w:val="6F8F8724"/>
    <w:rsid w:val="6FED554F"/>
    <w:rsid w:val="6FEEDECE"/>
    <w:rsid w:val="6FF1B987"/>
    <w:rsid w:val="6FFE15A2"/>
    <w:rsid w:val="6FFF9FA4"/>
    <w:rsid w:val="71F54A28"/>
    <w:rsid w:val="72E0289A"/>
    <w:rsid w:val="733F0D8F"/>
    <w:rsid w:val="73425F38"/>
    <w:rsid w:val="73ABD15D"/>
    <w:rsid w:val="74292E55"/>
    <w:rsid w:val="7431692A"/>
    <w:rsid w:val="74C60E92"/>
    <w:rsid w:val="75DB782F"/>
    <w:rsid w:val="77291431"/>
    <w:rsid w:val="775F5738"/>
    <w:rsid w:val="77E7151E"/>
    <w:rsid w:val="77F9507B"/>
    <w:rsid w:val="77F9AFD9"/>
    <w:rsid w:val="77FBDA4D"/>
    <w:rsid w:val="78BBE1D2"/>
    <w:rsid w:val="79B7A5DB"/>
    <w:rsid w:val="79FD8A0C"/>
    <w:rsid w:val="7A5FC8EA"/>
    <w:rsid w:val="7ABB5985"/>
    <w:rsid w:val="7B7DE776"/>
    <w:rsid w:val="7B8A228E"/>
    <w:rsid w:val="7BB71E0B"/>
    <w:rsid w:val="7BFC8CFA"/>
    <w:rsid w:val="7BFE3235"/>
    <w:rsid w:val="7CD3A78A"/>
    <w:rsid w:val="7D5E6EAA"/>
    <w:rsid w:val="7DEFF0DB"/>
    <w:rsid w:val="7DFEADAF"/>
    <w:rsid w:val="7E246406"/>
    <w:rsid w:val="7E7FE4AF"/>
    <w:rsid w:val="7EDF345C"/>
    <w:rsid w:val="7F2B9E49"/>
    <w:rsid w:val="7F4E1D43"/>
    <w:rsid w:val="7FAE2029"/>
    <w:rsid w:val="7FAF0E8C"/>
    <w:rsid w:val="7FB46386"/>
    <w:rsid w:val="7FBB81B3"/>
    <w:rsid w:val="7FBE2628"/>
    <w:rsid w:val="7FBE449C"/>
    <w:rsid w:val="7FC7E880"/>
    <w:rsid w:val="7FDB1481"/>
    <w:rsid w:val="7FE7970C"/>
    <w:rsid w:val="7FFE8245"/>
    <w:rsid w:val="7FFFF89A"/>
    <w:rsid w:val="9FFEF888"/>
    <w:rsid w:val="A2F92374"/>
    <w:rsid w:val="AEFFDBBC"/>
    <w:rsid w:val="AFBEA06C"/>
    <w:rsid w:val="AFCF81E1"/>
    <w:rsid w:val="AFF57570"/>
    <w:rsid w:val="B3D1FC5B"/>
    <w:rsid w:val="B419BD44"/>
    <w:rsid w:val="B57F6531"/>
    <w:rsid w:val="BBBE535C"/>
    <w:rsid w:val="BBCFD88C"/>
    <w:rsid w:val="BBDF8F70"/>
    <w:rsid w:val="BE7E46BF"/>
    <w:rsid w:val="BEDF06F7"/>
    <w:rsid w:val="BF6E3039"/>
    <w:rsid w:val="BFE37D63"/>
    <w:rsid w:val="BFFA69F9"/>
    <w:rsid w:val="BFFDED86"/>
    <w:rsid w:val="BFFE0FF2"/>
    <w:rsid w:val="CB08FAE8"/>
    <w:rsid w:val="CE731A08"/>
    <w:rsid w:val="CEFF7AE1"/>
    <w:rsid w:val="D3BF84A1"/>
    <w:rsid w:val="D63F53AC"/>
    <w:rsid w:val="D7FFE6B4"/>
    <w:rsid w:val="D9FFCB37"/>
    <w:rsid w:val="DAC38A6A"/>
    <w:rsid w:val="DC72FE6F"/>
    <w:rsid w:val="DDF56D19"/>
    <w:rsid w:val="DE7B5656"/>
    <w:rsid w:val="DEBF7CEE"/>
    <w:rsid w:val="DF7FD8AB"/>
    <w:rsid w:val="DFA96CFE"/>
    <w:rsid w:val="DFBDF4C5"/>
    <w:rsid w:val="DFDF5185"/>
    <w:rsid w:val="E3F8BE77"/>
    <w:rsid w:val="E6B3A17A"/>
    <w:rsid w:val="E727B282"/>
    <w:rsid w:val="E729BCB3"/>
    <w:rsid w:val="EAD3A4FB"/>
    <w:rsid w:val="EB5EA7C0"/>
    <w:rsid w:val="EBD467DA"/>
    <w:rsid w:val="EBFF9866"/>
    <w:rsid w:val="EC7718CE"/>
    <w:rsid w:val="EE97D116"/>
    <w:rsid w:val="EEFF0D5C"/>
    <w:rsid w:val="EEFFB0F0"/>
    <w:rsid w:val="EF2F158B"/>
    <w:rsid w:val="EFF3C28F"/>
    <w:rsid w:val="EFF79E2A"/>
    <w:rsid w:val="F505F43B"/>
    <w:rsid w:val="F6F7CF83"/>
    <w:rsid w:val="FAAFE2BC"/>
    <w:rsid w:val="FABCE296"/>
    <w:rsid w:val="FAF799AC"/>
    <w:rsid w:val="FB372C69"/>
    <w:rsid w:val="FBC1756A"/>
    <w:rsid w:val="FBCF206E"/>
    <w:rsid w:val="FBDD07C9"/>
    <w:rsid w:val="FBEAB876"/>
    <w:rsid w:val="FBFF1BB4"/>
    <w:rsid w:val="FC7D7BAF"/>
    <w:rsid w:val="FCEF3BCB"/>
    <w:rsid w:val="FCFFF318"/>
    <w:rsid w:val="FD7CC71F"/>
    <w:rsid w:val="FDBD58E8"/>
    <w:rsid w:val="FDC3259B"/>
    <w:rsid w:val="FDFE5BDD"/>
    <w:rsid w:val="FDFE75B7"/>
    <w:rsid w:val="FE7F8743"/>
    <w:rsid w:val="FEBB78E6"/>
    <w:rsid w:val="FED70BF3"/>
    <w:rsid w:val="FF1F5CE4"/>
    <w:rsid w:val="FF2F367D"/>
    <w:rsid w:val="FF4F05AB"/>
    <w:rsid w:val="FF523427"/>
    <w:rsid w:val="FF77C18E"/>
    <w:rsid w:val="FF7FD0BF"/>
    <w:rsid w:val="FFAB5D91"/>
    <w:rsid w:val="FFBD1E23"/>
    <w:rsid w:val="FFBEEE50"/>
    <w:rsid w:val="FFE4AE85"/>
    <w:rsid w:val="FFE7BB28"/>
    <w:rsid w:val="FFF10CF6"/>
    <w:rsid w:val="FFF61FCF"/>
    <w:rsid w:val="FFF9ADF9"/>
    <w:rsid w:val="FFFB193C"/>
    <w:rsid w:val="FFFE33F3"/>
    <w:rsid w:val="FFFF016E"/>
    <w:rsid w:val="FFFFC2A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Pages>
  <Words>4412</Words>
  <Characters>4497</Characters>
  <Lines>0</Lines>
  <Paragraphs>0</Paragraphs>
  <TotalTime>3</TotalTime>
  <ScaleCrop>false</ScaleCrop>
  <LinksUpToDate>false</LinksUpToDate>
  <CharactersWithSpaces>4527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2025-03-15T16:11:00Z</dcterms:created>
  <dc:creator>毕洪鑫</dc:creator>
  <cp:lastModifiedBy>十四师政务网</cp:lastModifiedBy>
  <cp:lastPrinted>2026-05-06T20:33:00Z</cp:lastPrinted>
  <dcterms:modified xsi:type="dcterms:W3CDTF">2026-09-16T10:19:37Z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05EDE9875E0D8FDEFA27A96A76A416AA</vt:lpwstr>
  </property>
  <property fmtid="{D5CDD505-2E9C-101B-9397-08002B2CF9AE}" pid="4" name="KSOTemplateDocerSaveRecord">
    <vt:lpwstr>eyJoZGlkIjoiZGY1N2JjMTMzZjk3NDRlMzdhMGUxNmJiNjkwZGFmMTkiLCJ1c2VySWQiOiIxNjU2NTU0MjE4In0=</vt:lpwstr>
  </property>
</Properties>
</file>