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71644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left"/>
        <w:textAlignment w:val="auto"/>
        <w:rPr>
          <w:rFonts w:hint="eastAsia" w:ascii="黑体" w:hAnsi="黑体" w:eastAsia="黑体" w:cs="黑体"/>
          <w:sz w:val="32"/>
          <w:szCs w:val="28"/>
          <w:lang w:val="en-US" w:eastAsia="zh-CN"/>
        </w:rPr>
      </w:pPr>
      <w:r>
        <w:rPr>
          <w:rFonts w:hint="eastAsia" w:ascii="黑体" w:hAnsi="黑体" w:eastAsia="黑体" w:cs="黑体"/>
          <w:sz w:val="32"/>
          <w:szCs w:val="28"/>
          <w:lang w:val="en-US" w:eastAsia="zh-CN"/>
        </w:rPr>
        <w:t>附件1</w:t>
      </w:r>
    </w:p>
    <w:p w14:paraId="75D144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0"/>
          <w:lang w:val="en-US" w:eastAsia="zh-CN"/>
        </w:rPr>
      </w:pPr>
    </w:p>
    <w:p w14:paraId="21F6A45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0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0"/>
          <w:lang w:eastAsia="zh-CN"/>
        </w:rPr>
        <w:t>关于划定第十四师昆玉市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0"/>
          <w:lang w:eastAsia="zh-CN"/>
        </w:rPr>
        <w:t>二二五团沉沙调节池</w:t>
      </w:r>
      <w:r>
        <w:rPr>
          <w:rFonts w:hint="eastAsia" w:ascii="方正小标宋简体" w:hAnsi="方正小标宋简体" w:eastAsia="方正小标宋简体" w:cs="方正小标宋简体"/>
          <w:sz w:val="44"/>
          <w:szCs w:val="40"/>
          <w:lang w:eastAsia="zh-CN"/>
        </w:rPr>
        <w:br w:type="textWrapping"/>
      </w:r>
      <w:r>
        <w:rPr>
          <w:rFonts w:hint="eastAsia" w:ascii="方正小标宋简体" w:hAnsi="方正小标宋简体" w:eastAsia="方正小标宋简体" w:cs="方正小标宋简体"/>
          <w:sz w:val="44"/>
          <w:szCs w:val="40"/>
          <w:lang w:eastAsia="zh-CN"/>
        </w:rPr>
        <w:t>饮用水水源保护区的起草说明</w:t>
      </w:r>
    </w:p>
    <w:p w14:paraId="323F4FB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0"/>
          <w:lang w:eastAsia="zh-CN"/>
        </w:rPr>
      </w:pPr>
    </w:p>
    <w:p w14:paraId="0E0B0F7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28"/>
          <w:lang w:eastAsia="zh-CN"/>
        </w:rPr>
      </w:pPr>
      <w:r>
        <w:rPr>
          <w:rFonts w:hint="eastAsia" w:ascii="黑体" w:hAnsi="黑体" w:eastAsia="黑体" w:cs="黑体"/>
          <w:sz w:val="32"/>
          <w:szCs w:val="28"/>
          <w:lang w:eastAsia="zh-CN"/>
        </w:rPr>
        <w:t>一、起草背景及过程</w:t>
      </w:r>
    </w:p>
    <w:p w14:paraId="595C559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8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28"/>
          <w:lang w:eastAsia="zh-CN"/>
        </w:rPr>
        <w:t>第十四师昆玉市</w:t>
      </w:r>
      <w:r>
        <w:rPr>
          <w:rFonts w:hint="eastAsia" w:ascii="Times New Roman" w:hAnsi="Times New Roman" w:eastAsia="仿宋_GB2312" w:cs="Times New Roman"/>
          <w:sz w:val="32"/>
          <w:szCs w:val="28"/>
          <w:lang w:eastAsia="zh-CN"/>
        </w:rPr>
        <w:t>二二五</w:t>
      </w:r>
      <w:r>
        <w:rPr>
          <w:rFonts w:hint="default" w:ascii="Times New Roman" w:hAnsi="Times New Roman" w:eastAsia="仿宋_GB2312" w:cs="Times New Roman"/>
          <w:sz w:val="32"/>
          <w:szCs w:val="28"/>
          <w:lang w:eastAsia="zh-CN"/>
        </w:rPr>
        <w:t>团沉沙调节池水源地位于和田地区于田县境内，依托克里雅河地表水，经昆仑渠首及配套引水渠道向沉沙调节池引水，为</w:t>
      </w:r>
      <w:r>
        <w:rPr>
          <w:rFonts w:hint="eastAsia" w:ascii="Times New Roman" w:hAnsi="Times New Roman" w:eastAsia="仿宋_GB2312" w:cs="Times New Roman"/>
          <w:sz w:val="32"/>
          <w:szCs w:val="28"/>
          <w:lang w:eastAsia="zh-CN"/>
        </w:rPr>
        <w:t>二二五</w:t>
      </w:r>
      <w:r>
        <w:rPr>
          <w:rFonts w:hint="default" w:ascii="Times New Roman" w:hAnsi="Times New Roman" w:eastAsia="仿宋_GB2312" w:cs="Times New Roman"/>
          <w:sz w:val="32"/>
          <w:szCs w:val="28"/>
          <w:lang w:eastAsia="zh-CN"/>
        </w:rPr>
        <w:t>团（玉泉镇）城乡集中供水提供水源保障。该水源地已基本建成并投入使用，但饮用水水源保护区尚未依法划定，水源保护范围和相应环境管理要求有待明确。</w:t>
      </w:r>
    </w:p>
    <w:p w14:paraId="464C5F2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8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28"/>
          <w:lang w:eastAsia="zh-CN"/>
        </w:rPr>
        <w:t>饮用水水源直接关系群众身体健康和城乡供水安全。《中华人民共和国生态环境法典》第三百一十七条确立饮用水水源保护区制度，明确保护区分级以及划定方案提出、批准和跨市、县协商程序。为加强集中式饮用水水源保护，防范河道取水、渠道输送和沉沙调蓄环节可能发生的水质污染，亟须依据《饮用水水源保护区划分技术规范》（HJ 338—2018）科学划定保护区，落实分级保护、污染防治和环境风险防控要求。</w:t>
      </w:r>
    </w:p>
    <w:p w14:paraId="7AEAC76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8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28"/>
          <w:lang w:eastAsia="zh-CN"/>
        </w:rPr>
        <w:t>为此，第十四师昆玉市生态环境局组织开展</w:t>
      </w:r>
      <w:r>
        <w:rPr>
          <w:rFonts w:hint="eastAsia" w:ascii="Times New Roman" w:hAnsi="Times New Roman" w:eastAsia="仿宋_GB2312" w:cs="Times New Roman"/>
          <w:sz w:val="32"/>
          <w:szCs w:val="28"/>
          <w:lang w:eastAsia="zh-CN"/>
        </w:rPr>
        <w:t>二二五</w:t>
      </w:r>
      <w:r>
        <w:rPr>
          <w:rFonts w:hint="default" w:ascii="Times New Roman" w:hAnsi="Times New Roman" w:eastAsia="仿宋_GB2312" w:cs="Times New Roman"/>
          <w:sz w:val="32"/>
          <w:szCs w:val="28"/>
          <w:lang w:eastAsia="zh-CN"/>
        </w:rPr>
        <w:t>团沉沙调节池饮用水水源保护区划定工作，形成《第十四师昆玉市</w:t>
      </w:r>
      <w:r>
        <w:rPr>
          <w:rFonts w:hint="eastAsia" w:ascii="Times New Roman" w:hAnsi="Times New Roman" w:eastAsia="仿宋_GB2312" w:cs="Times New Roman"/>
          <w:sz w:val="32"/>
          <w:szCs w:val="28"/>
          <w:lang w:eastAsia="zh-CN"/>
        </w:rPr>
        <w:t>二二五</w:t>
      </w:r>
      <w:r>
        <w:rPr>
          <w:rFonts w:hint="default" w:ascii="Times New Roman" w:hAnsi="Times New Roman" w:eastAsia="仿宋_GB2312" w:cs="Times New Roman"/>
          <w:sz w:val="32"/>
          <w:szCs w:val="28"/>
          <w:lang w:eastAsia="zh-CN"/>
        </w:rPr>
        <w:t>团沉沙调节池饮用水水源保护区划定方案（征求意见稿）》及《第十四师昆玉市</w:t>
      </w:r>
      <w:r>
        <w:rPr>
          <w:rFonts w:hint="eastAsia" w:ascii="Times New Roman" w:hAnsi="Times New Roman" w:eastAsia="仿宋_GB2312" w:cs="Times New Roman"/>
          <w:sz w:val="32"/>
          <w:szCs w:val="28"/>
          <w:lang w:eastAsia="zh-CN"/>
        </w:rPr>
        <w:t>二二五</w:t>
      </w:r>
      <w:r>
        <w:rPr>
          <w:rFonts w:hint="default" w:ascii="Times New Roman" w:hAnsi="Times New Roman" w:eastAsia="仿宋_GB2312" w:cs="Times New Roman"/>
          <w:sz w:val="32"/>
          <w:szCs w:val="28"/>
          <w:lang w:eastAsia="zh-CN"/>
        </w:rPr>
        <w:t>团沉沙调节池饮用水水源保护区划定技术报告（征求意见稿）》。</w:t>
      </w:r>
    </w:p>
    <w:p w14:paraId="1BEFFC9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黑体" w:hAnsi="黑体" w:eastAsia="黑体" w:cs="黑体"/>
          <w:sz w:val="32"/>
          <w:szCs w:val="28"/>
          <w:lang w:eastAsia="zh-CN"/>
        </w:rPr>
      </w:pPr>
      <w:r>
        <w:rPr>
          <w:rFonts w:hint="default" w:ascii="黑体" w:hAnsi="黑体" w:eastAsia="黑体" w:cs="黑体"/>
          <w:sz w:val="32"/>
          <w:szCs w:val="28"/>
          <w:lang w:eastAsia="zh-CN"/>
        </w:rPr>
        <w:t>二、方案主要内容及征求意见安排</w:t>
      </w:r>
    </w:p>
    <w:p w14:paraId="60BA7F7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8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28"/>
          <w:lang w:eastAsia="zh-CN"/>
        </w:rPr>
        <w:t>《划定方案》主要包括总则、水质要求、保护区划分与定界三个部分；《技术报告》主要包括总则、饮用水水源基础环境状况、保护区划分与定界、水源地规范化建设与管理要求、建设投资估算五章，对水源地基础条件、保护区范围及环境保护措施等进行论证。</w:t>
      </w:r>
    </w:p>
    <w:p w14:paraId="6DB95BD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8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28"/>
          <w:lang w:eastAsia="zh-CN"/>
        </w:rPr>
        <w:t>根据《重大行政决策程序暂行条例》第十五条关于公开征求意见的规定，拟通过政府网站向社会公布划定方案（公众参与）及起草说明，公开征求意见期限不少于30日，充分听取公众和有关方面的意见建议。征求意见结果将用于进一步完善相关成果。</w:t>
      </w:r>
    </w:p>
    <w:p w14:paraId="7B06006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28"/>
          <w:lang w:eastAsia="zh-CN"/>
        </w:rPr>
      </w:pPr>
      <w:r>
        <w:rPr>
          <w:rFonts w:hint="eastAsia" w:ascii="黑体" w:hAnsi="黑体" w:eastAsia="黑体" w:cs="黑体"/>
          <w:sz w:val="32"/>
          <w:szCs w:val="28"/>
          <w:lang w:eastAsia="zh-CN"/>
        </w:rPr>
        <w:t>三、需要说明的事项</w:t>
      </w:r>
    </w:p>
    <w:p w14:paraId="3049740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8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28"/>
          <w:lang w:eastAsia="zh-CN"/>
        </w:rPr>
        <w:t>本次拟划定保护区包括沉沙调节池和引水明渠两部分。拟划一级保护区面积0.400km²，其中沉沙调节池部分0.172km²、明渠部分0.228km²；拟划二级保护区面积3.907km²，主要为沉沙调节池相关范围。明渠拟按两侧各50m划定一级保护区，不另划二级保护区；本水源地拟不设置准保护区。保护区范围及拐点坐标以划定方案所附图表为准，最终以依法批准的成果为准。</w:t>
      </w:r>
    </w:p>
    <w:p w14:paraId="0CF46AC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8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28"/>
          <w:lang w:eastAsia="zh-CN"/>
        </w:rPr>
        <w:t>克里雅河昆仑渠首既有取水口已纳入批复的饮用水水源保护区，本次不重复划分；封闭输水暗渠不另行划定保护区。鉴于本水源地工程位于于田县境内、服务于第十四师昆玉市</w:t>
      </w:r>
      <w:r>
        <w:rPr>
          <w:rFonts w:hint="eastAsia" w:ascii="Times New Roman" w:hAnsi="Times New Roman" w:eastAsia="仿宋_GB2312" w:cs="Times New Roman"/>
          <w:sz w:val="32"/>
          <w:szCs w:val="28"/>
          <w:lang w:eastAsia="zh-CN"/>
        </w:rPr>
        <w:t>二二五</w:t>
      </w:r>
      <w:r>
        <w:rPr>
          <w:rFonts w:hint="default" w:ascii="Times New Roman" w:hAnsi="Times New Roman" w:eastAsia="仿宋_GB2312" w:cs="Times New Roman"/>
          <w:sz w:val="32"/>
          <w:szCs w:val="28"/>
          <w:lang w:eastAsia="zh-CN"/>
        </w:rPr>
        <w:t>团，其保护区划定涉及有关行政区域衔接事项，后续将按照法定程序做好协商和报批工作。</w:t>
      </w:r>
    </w:p>
    <w:p w14:paraId="17B176B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黑体" w:hAnsi="黑体" w:eastAsia="黑体" w:cs="黑体"/>
          <w:sz w:val="32"/>
          <w:szCs w:val="28"/>
          <w:lang w:eastAsia="zh-CN"/>
        </w:rPr>
      </w:pPr>
      <w:r>
        <w:rPr>
          <w:rFonts w:hint="default" w:ascii="黑体" w:hAnsi="黑体" w:eastAsia="黑体" w:cs="黑体"/>
          <w:sz w:val="32"/>
          <w:szCs w:val="28"/>
          <w:lang w:eastAsia="zh-CN"/>
        </w:rPr>
        <w:t>四、是否全文公开</w:t>
      </w:r>
    </w:p>
    <w:p w14:paraId="0E2502B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8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28"/>
          <w:lang w:eastAsia="zh-CN"/>
        </w:rPr>
        <w:t>否。拟将划定方案（公众参与）和本起草说明作为公开征求意见材料，通过政府网站</w:t>
      </w:r>
      <w:r>
        <w:rPr>
          <w:rFonts w:hint="eastAsia" w:ascii="Times New Roman" w:hAnsi="Times New Roman" w:eastAsia="仿宋_GB2312" w:cs="Times New Roman"/>
          <w:sz w:val="32"/>
          <w:szCs w:val="28"/>
          <w:lang w:val="en-US" w:eastAsia="zh-CN"/>
        </w:rPr>
        <w:t>等方式</w:t>
      </w:r>
      <w:r>
        <w:rPr>
          <w:rFonts w:hint="default" w:ascii="Times New Roman" w:hAnsi="Times New Roman" w:eastAsia="仿宋_GB2312" w:cs="Times New Roman"/>
          <w:sz w:val="32"/>
          <w:szCs w:val="28"/>
          <w:lang w:eastAsia="zh-CN"/>
        </w:rPr>
        <w:t>向社会公布。</w:t>
      </w:r>
    </w:p>
    <w:p w14:paraId="3CE5AF9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黑体" w:hAnsi="黑体" w:eastAsia="黑体" w:cs="黑体"/>
          <w:sz w:val="32"/>
          <w:szCs w:val="28"/>
          <w:lang w:eastAsia="zh-CN"/>
        </w:rPr>
      </w:pPr>
      <w:r>
        <w:rPr>
          <w:rFonts w:hint="default" w:ascii="黑体" w:hAnsi="黑体" w:eastAsia="黑体" w:cs="黑体"/>
          <w:sz w:val="32"/>
          <w:szCs w:val="28"/>
          <w:lang w:eastAsia="zh-CN"/>
        </w:rPr>
        <w:t>五、是否属于行政规范性文件及原因</w:t>
      </w:r>
    </w:p>
    <w:p w14:paraId="528F46B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8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28"/>
          <w:lang w:eastAsia="zh-CN"/>
        </w:rPr>
        <w:t>不属于行政规范性文件。本事项为特定集中式饮用水水源保护区的划定及报批事项，不以制定普遍适用的行政管理规范为目的。</w:t>
      </w:r>
    </w:p>
    <w:p w14:paraId="5D99DB0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黑体" w:hAnsi="黑体" w:eastAsia="黑体" w:cs="黑体"/>
          <w:sz w:val="32"/>
          <w:szCs w:val="28"/>
          <w:lang w:eastAsia="zh-CN"/>
        </w:rPr>
      </w:pPr>
      <w:r>
        <w:rPr>
          <w:rFonts w:hint="default" w:ascii="黑体" w:hAnsi="黑体" w:eastAsia="黑体" w:cs="黑体"/>
          <w:sz w:val="32"/>
          <w:szCs w:val="28"/>
          <w:lang w:eastAsia="zh-CN"/>
        </w:rPr>
        <w:t>六、后续事项</w:t>
      </w:r>
    </w:p>
    <w:p w14:paraId="7273E2D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8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28"/>
          <w:lang w:eastAsia="zh-CN"/>
        </w:rPr>
        <w:t>公开征求意见结束后，汇总研究社会公众提出的意见建议完善划定方案和技术报告，按规定履行后续审查、报批程序。保护区依法批准后，依照有关技术要求推进界标、警示标志、隔离防护及日常环境管理工作。</w:t>
      </w:r>
    </w:p>
    <w:sectPr>
      <w:footerReference r:id="rId5" w:type="default"/>
      <w:pgSz w:w="11906" w:h="16838"/>
      <w:pgMar w:top="2098" w:right="1474" w:bottom="1984" w:left="1587" w:header="737" w:footer="1134" w:gutter="0"/>
      <w:pgNumType w:fmt="decimal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70409020205020404"/>
    <w:charset w:val="00"/>
    <w:family w:val="auto"/>
    <w:pitch w:val="default"/>
    <w:sig w:usb0="00000000" w:usb1="00000000" w:usb2="00000000" w:usb3="00000000" w:csb0="0000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ＭＳ 明朝">
    <w:altName w:val="ksdb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db">
    <w:panose1 w:val="02000500000000000000"/>
    <w:charset w:val="00"/>
    <w:family w:val="auto"/>
    <w:pitch w:val="default"/>
    <w:sig w:usb0="00000001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69319D">
    <w:pPr>
      <w:pStyle w:val="24"/>
      <w:jc w:val="center"/>
      <w:rPr>
        <w:rFonts w:hint="eastAsia"/>
      </w:rPr>
    </w:pPr>
    <w:r>
      <w:rPr>
        <w:sz w:val="27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E718648">
                          <w:pPr>
                            <w:pStyle w:val="24"/>
                            <w:rPr>
                              <w:rFonts w:hint="eastAsia" w:ascii="宋体" w:hAnsi="宋体" w:eastAsia="宋体" w:cs="宋体"/>
                              <w:sz w:val="28"/>
                              <w:szCs w:val="24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4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E718648">
                    <w:pPr>
                      <w:pStyle w:val="24"/>
                      <w:rPr>
                        <w:rFonts w:hint="eastAsia" w:ascii="宋体" w:hAnsi="宋体" w:eastAsia="宋体" w:cs="宋体"/>
                        <w:sz w:val="28"/>
                        <w:szCs w:val="24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4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4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4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4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17" w:lineRule="auto"/>
      </w:pPr>
      <w:r>
        <w:separator/>
      </w:r>
    </w:p>
  </w:footnote>
  <w:footnote w:type="continuationSeparator" w:id="1">
    <w:p>
      <w:pPr>
        <w:spacing w:before="0" w:after="0" w:line="317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14A76"/>
    <w:rsid w:val="0015074B"/>
    <w:rsid w:val="0029639D"/>
    <w:rsid w:val="00326F90"/>
    <w:rsid w:val="00453D67"/>
    <w:rsid w:val="004B10D9"/>
    <w:rsid w:val="007B5320"/>
    <w:rsid w:val="00965457"/>
    <w:rsid w:val="009E4932"/>
    <w:rsid w:val="00AA1D8D"/>
    <w:rsid w:val="00B47730"/>
    <w:rsid w:val="00B7572E"/>
    <w:rsid w:val="00CB0664"/>
    <w:rsid w:val="00D26C1B"/>
    <w:rsid w:val="00D811F4"/>
    <w:rsid w:val="00E2213C"/>
    <w:rsid w:val="00FA2285"/>
    <w:rsid w:val="00FC693F"/>
    <w:rsid w:val="057E5ECC"/>
    <w:rsid w:val="1E517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qFormat="1"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unhideWhenUsed="0" w:uiPriority="63" w:semiHidden="0" w:name="Medium Shading 1 Accent 1"/>
    <w:lsdException w:qFormat="1"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unhideWhenUsed="0" w:uiPriority="65" w:semiHidden="0" w:name="Medium List 1 Accent 5"/>
    <w:lsdException w:qFormat="1" w:unhideWhenUsed="0" w:uiPriority="66" w:semiHidden="0" w:name="Medium List 2 Accent 5"/>
    <w:lsdException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317" w:lineRule="auto"/>
    </w:pPr>
    <w:rPr>
      <w:rFonts w:ascii="仿宋" w:hAnsi="仿宋" w:eastAsia="仿宋" w:cstheme="minorBidi"/>
      <w:sz w:val="27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line="240" w:lineRule="auto"/>
    </w:pPr>
  </w:style>
  <w:style w:type="paragraph" w:styleId="25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uiPriority w:val="99"/>
    <w:pPr>
      <w:spacing w:after="120" w:line="480" w:lineRule="auto"/>
    </w:p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页眉 字符"/>
    <w:basedOn w:val="132"/>
    <w:link w:val="25"/>
    <w:qFormat/>
    <w:uiPriority w:val="99"/>
  </w:style>
  <w:style w:type="character" w:customStyle="1" w:styleId="136">
    <w:name w:val="页脚 字符"/>
    <w:basedOn w:val="132"/>
    <w:link w:val="24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标题 1 字符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标题 2 字符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标题 3 字符"/>
    <w:basedOn w:val="132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标题 字符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副标题 字符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正文文本 字符"/>
    <w:basedOn w:val="132"/>
    <w:link w:val="19"/>
    <w:qFormat/>
    <w:uiPriority w:val="99"/>
  </w:style>
  <w:style w:type="character" w:customStyle="1" w:styleId="145">
    <w:name w:val="正文文本 2 字符"/>
    <w:basedOn w:val="132"/>
    <w:link w:val="28"/>
    <w:qFormat/>
    <w:uiPriority w:val="99"/>
  </w:style>
  <w:style w:type="character" w:customStyle="1" w:styleId="146">
    <w:name w:val="正文文本 3 字符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宏文本 字符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引用 字符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标题 4 字符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标题 5 字符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标题 6 字符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标题 7 字符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标题 8 字符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标题 9 字符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明显引用 字符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  <w:style w:type="paragraph" w:customStyle="1" w:styleId="164">
    <w:name w:val="FormalTitle"/>
    <w:qFormat/>
    <w:uiPriority w:val="0"/>
    <w:pPr>
      <w:spacing w:after="0" w:line="336" w:lineRule="auto"/>
    </w:pPr>
    <w:rPr>
      <w:rFonts w:ascii="宋体" w:hAnsi="宋体" w:eastAsia="宋体" w:cstheme="minorBidi"/>
      <w:b/>
      <w:sz w:val="38"/>
      <w:szCs w:val="22"/>
      <w:lang w:val="en-US" w:eastAsia="en-US" w:bidi="ar-SA"/>
    </w:rPr>
  </w:style>
  <w:style w:type="paragraph" w:customStyle="1" w:styleId="165">
    <w:name w:val="FormalSection"/>
    <w:qFormat/>
    <w:uiPriority w:val="0"/>
    <w:pPr>
      <w:spacing w:after="0" w:line="336" w:lineRule="auto"/>
    </w:pPr>
    <w:rPr>
      <w:rFonts w:ascii="黑体" w:hAnsi="黑体" w:eastAsia="黑体" w:cstheme="minorBidi"/>
      <w:b/>
      <w:sz w:val="27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1206</Words>
  <Characters>1259</Characters>
  <Lines>9</Lines>
  <Paragraphs>2</Paragraphs>
  <TotalTime>123</TotalTime>
  <ScaleCrop>false</ScaleCrop>
  <LinksUpToDate>false</LinksUpToDate>
  <CharactersWithSpaces>1260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陈俊刚</cp:lastModifiedBy>
  <cp:lastPrinted>2026-11-01T07:00:59Z</cp:lastPrinted>
  <dcterms:modified xsi:type="dcterms:W3CDTF">2026-11-01T08:53:23Z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eyJoZGlkIjoiMjU3NzRhOWE0Y2QzZjhlOWQ3MjQxOGQyZmQxYzM1YTIiLCJ1c2VySWQiOiIzMDA0OTkyMDgifQ==</vt:lpwstr>
  </property>
  <property fmtid="{D5CDD505-2E9C-101B-9397-08002B2CF9AE}" pid="3" name="KSOProductBuildVer">
    <vt:lpwstr>2052-12.1.0.29161</vt:lpwstr>
  </property>
  <property fmtid="{D5CDD505-2E9C-101B-9397-08002B2CF9AE}" pid="4" name="ICV">
    <vt:lpwstr>4558AB4CA8F4406B80FCC538384F082B_12</vt:lpwstr>
  </property>
</Properties>
</file>